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1EF" w:rsidRDefault="002361EF" w:rsidP="002361EF">
      <w:pPr>
        <w:spacing w:after="0" w:line="259" w:lineRule="auto"/>
        <w:ind w:left="0" w:right="65" w:firstLine="0"/>
        <w:jc w:val="center"/>
        <w:rPr>
          <w:rFonts w:ascii="Times New Roman" w:hAnsi="Times New Roman" w:cs="Times New Roman"/>
          <w:b/>
          <w:color w:val="auto"/>
          <w:sz w:val="24"/>
          <w:szCs w:val="24"/>
          <w:lang w:val="fr-FR"/>
        </w:rPr>
      </w:pPr>
    </w:p>
    <w:p w:rsidR="00AC0742" w:rsidRDefault="00AC0742" w:rsidP="002361EF">
      <w:pPr>
        <w:spacing w:after="0" w:line="259" w:lineRule="auto"/>
        <w:ind w:left="0" w:right="65" w:firstLine="0"/>
        <w:jc w:val="center"/>
        <w:rPr>
          <w:rFonts w:ascii="Times New Roman" w:hAnsi="Times New Roman" w:cs="Times New Roman"/>
          <w:b/>
          <w:color w:val="auto"/>
          <w:sz w:val="24"/>
          <w:szCs w:val="24"/>
          <w:lang w:val="fr-FR"/>
        </w:rPr>
      </w:pPr>
    </w:p>
    <w:p w:rsidR="00AC0742" w:rsidRDefault="00AC0742" w:rsidP="002361EF">
      <w:pPr>
        <w:spacing w:after="0" w:line="259" w:lineRule="auto"/>
        <w:ind w:left="0" w:right="65" w:firstLine="0"/>
        <w:jc w:val="center"/>
        <w:rPr>
          <w:rFonts w:ascii="Times New Roman" w:hAnsi="Times New Roman" w:cs="Times New Roman"/>
          <w:b/>
          <w:color w:val="auto"/>
          <w:sz w:val="24"/>
          <w:szCs w:val="24"/>
          <w:lang w:val="fr-FR"/>
        </w:rPr>
      </w:pPr>
    </w:p>
    <w:p w:rsidR="00AC0742" w:rsidRPr="00D52D00" w:rsidRDefault="00AC0742" w:rsidP="00AC0742">
      <w:pPr>
        <w:pStyle w:val="Titre"/>
        <w:rPr>
          <w:rFonts w:ascii="Times New Roman" w:hAnsi="Times New Roman" w:cs="Times New Roman"/>
          <w:color w:val="auto"/>
          <w:sz w:val="44"/>
          <w:szCs w:val="44"/>
          <w:lang w:val="fr-FR"/>
        </w:rPr>
      </w:pPr>
      <w:r w:rsidRPr="00D52D00">
        <w:rPr>
          <w:rFonts w:ascii="Times New Roman" w:hAnsi="Times New Roman" w:cs="Times New Roman"/>
          <w:color w:val="auto"/>
          <w:sz w:val="44"/>
          <w:szCs w:val="44"/>
          <w:lang w:val="fr-FR"/>
        </w:rPr>
        <w:t>Projet de sécurité alimentaire d'urgence en Guinée-Bissau (P1742336)</w:t>
      </w:r>
    </w:p>
    <w:p w:rsidR="00AC0742" w:rsidRPr="00D52D00" w:rsidRDefault="00AC0742" w:rsidP="002361EF">
      <w:pPr>
        <w:spacing w:after="0" w:line="259" w:lineRule="auto"/>
        <w:ind w:left="0" w:right="65" w:firstLine="0"/>
        <w:jc w:val="center"/>
        <w:rPr>
          <w:rFonts w:ascii="Times New Roman" w:hAnsi="Times New Roman" w:cs="Times New Roman"/>
          <w:b/>
          <w:color w:val="auto"/>
          <w:sz w:val="24"/>
          <w:szCs w:val="24"/>
          <w:lang w:val="fr-FR"/>
        </w:rPr>
      </w:pPr>
    </w:p>
    <w:p w:rsidR="009C75FA" w:rsidRPr="00D52D00" w:rsidRDefault="009C75FA" w:rsidP="002361EF">
      <w:pPr>
        <w:pStyle w:val="Titre"/>
        <w:rPr>
          <w:rFonts w:ascii="Times New Roman" w:hAnsi="Times New Roman" w:cs="Times New Roman"/>
          <w:color w:val="auto"/>
          <w:sz w:val="44"/>
          <w:szCs w:val="44"/>
          <w:lang w:val="fr-FR"/>
        </w:rPr>
      </w:pPr>
      <w:r w:rsidRPr="00D52D00">
        <w:rPr>
          <w:rFonts w:ascii="Times New Roman" w:hAnsi="Times New Roman" w:cs="Times New Roman"/>
          <w:color w:val="auto"/>
          <w:sz w:val="44"/>
          <w:szCs w:val="44"/>
          <w:lang w:val="fr-FR"/>
        </w:rPr>
        <w:t>Plan d'engagement des parties prenantes (PEPP)</w:t>
      </w:r>
    </w:p>
    <w:p w:rsidR="009C75FA" w:rsidRPr="00D52D00" w:rsidRDefault="009C75FA" w:rsidP="002361EF">
      <w:pPr>
        <w:pStyle w:val="Titre2"/>
        <w:spacing w:after="0" w:line="240" w:lineRule="auto"/>
        <w:ind w:left="-5"/>
        <w:contextualSpacing/>
        <w:rPr>
          <w:rFonts w:ascii="Times New Roman" w:hAnsi="Times New Roman" w:cs="Times New Roman"/>
          <w:color w:val="auto"/>
          <w:sz w:val="24"/>
          <w:szCs w:val="24"/>
          <w:lang w:val="fr-FR"/>
        </w:rPr>
      </w:pPr>
    </w:p>
    <w:p w:rsidR="009C75FA" w:rsidRPr="00D52D00" w:rsidRDefault="009C75FA" w:rsidP="002361EF">
      <w:pPr>
        <w:pStyle w:val="Titre2"/>
        <w:spacing w:after="0" w:line="240" w:lineRule="auto"/>
        <w:ind w:left="-5"/>
        <w:contextualSpacing/>
        <w:rPr>
          <w:rFonts w:ascii="Times New Roman" w:hAnsi="Times New Roman" w:cs="Times New Roman"/>
          <w:color w:val="auto"/>
          <w:sz w:val="24"/>
          <w:szCs w:val="24"/>
          <w:lang w:val="fr-FR"/>
        </w:rPr>
      </w:pPr>
    </w:p>
    <w:p w:rsidR="00776432" w:rsidRPr="00D52D00" w:rsidRDefault="00776432" w:rsidP="002361EF">
      <w:pPr>
        <w:pStyle w:val="Titre2"/>
        <w:spacing w:after="0" w:line="240" w:lineRule="auto"/>
        <w:ind w:left="-5"/>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1. Introduction/ Description</w:t>
      </w:r>
      <w:r w:rsidR="00C906A6" w:rsidRPr="00D52D00">
        <w:rPr>
          <w:rFonts w:ascii="Times New Roman" w:hAnsi="Times New Roman" w:cs="Times New Roman"/>
          <w:color w:val="auto"/>
          <w:sz w:val="24"/>
          <w:szCs w:val="24"/>
          <w:lang w:val="fr-FR"/>
        </w:rPr>
        <w:t xml:space="preserve"> du Projet </w:t>
      </w:r>
    </w:p>
    <w:p w:rsidR="00776432" w:rsidRPr="00D52D00" w:rsidRDefault="00776432" w:rsidP="002361EF">
      <w:pPr>
        <w:widowControl w:val="0"/>
        <w:autoSpaceDE w:val="0"/>
        <w:autoSpaceDN w:val="0"/>
        <w:adjustRightInd w:val="0"/>
        <w:spacing w:after="0" w:line="240" w:lineRule="auto"/>
        <w:ind w:left="0" w:firstLine="0"/>
        <w:contextualSpacing/>
        <w:rPr>
          <w:rFonts w:ascii="Times New Roman" w:hAnsi="Times New Roman" w:cs="Times New Roman"/>
          <w:color w:val="auto"/>
          <w:sz w:val="24"/>
          <w:szCs w:val="24"/>
          <w:lang w:val="fr-FR"/>
        </w:rPr>
      </w:pPr>
    </w:p>
    <w:p w:rsidR="00C906A6" w:rsidRPr="00D52D00" w:rsidRDefault="00C906A6" w:rsidP="002361EF">
      <w:pPr>
        <w:widowControl w:val="0"/>
        <w:autoSpaceDE w:val="0"/>
        <w:autoSpaceDN w:val="0"/>
        <w:adjustRightInd w:val="0"/>
        <w:spacing w:after="0" w:line="240" w:lineRule="auto"/>
        <w:ind w:left="0" w:firstLine="0"/>
        <w:contextualSpacing/>
        <w:rPr>
          <w:rFonts w:ascii="Times New Roman" w:hAnsi="Times New Roman" w:cs="Times New Roman"/>
          <w:color w:val="auto"/>
          <w:sz w:val="24"/>
          <w:szCs w:val="24"/>
          <w:lang w:val="fr-FR"/>
        </w:rPr>
      </w:pPr>
      <w:r w:rsidRPr="00D52D00">
        <w:rPr>
          <w:rFonts w:ascii="Times New Roman" w:hAnsi="Times New Roman" w:cs="Times New Roman"/>
          <w:b/>
          <w:color w:val="auto"/>
          <w:sz w:val="24"/>
          <w:szCs w:val="24"/>
          <w:lang w:val="fr-FR"/>
        </w:rPr>
        <w:t xml:space="preserve">Le projet de sécurité alimentaire d'urgence en Guinée-Bissau </w:t>
      </w:r>
      <w:r w:rsidR="000B38C1" w:rsidRPr="00D52D00">
        <w:rPr>
          <w:rFonts w:ascii="Times New Roman" w:hAnsi="Times New Roman" w:cs="Times New Roman"/>
          <w:color w:val="auto"/>
          <w:sz w:val="24"/>
          <w:szCs w:val="24"/>
          <w:lang w:val="fr-FR"/>
        </w:rPr>
        <w:t xml:space="preserve">appuiera le gouvernement de la Guinée-Bissau dans ses efforts pour atténuer de manière proactive les problèmes de sécurité alimentaire à court et moyen terme auxquels le pays devrait être confronté, en raison des effets du Covid-19 sur la production et la commercialisation de la noix de cajou ; </w:t>
      </w:r>
      <w:r w:rsidRPr="00D52D00">
        <w:rPr>
          <w:rFonts w:ascii="Times New Roman" w:hAnsi="Times New Roman" w:cs="Times New Roman"/>
          <w:color w:val="auto"/>
          <w:sz w:val="24"/>
          <w:szCs w:val="24"/>
          <w:lang w:val="fr-FR"/>
        </w:rPr>
        <w:t>confronté, en raison des effets du Covid-19 sur la production et la commercialisation de la noix de cajou</w:t>
      </w:r>
    </w:p>
    <w:p w:rsidR="00776432" w:rsidRPr="00D52D00" w:rsidRDefault="00776432" w:rsidP="002361EF">
      <w:pPr>
        <w:autoSpaceDE w:val="0"/>
        <w:autoSpaceDN w:val="0"/>
        <w:adjustRightInd w:val="0"/>
        <w:spacing w:after="0" w:line="240" w:lineRule="auto"/>
        <w:ind w:left="0" w:firstLine="0"/>
        <w:contextualSpacing/>
        <w:jc w:val="left"/>
        <w:rPr>
          <w:rFonts w:ascii="Times New Roman" w:hAnsi="Times New Roman" w:cs="Times New Roman"/>
          <w:bCs/>
          <w:noProof/>
          <w:color w:val="auto"/>
          <w:sz w:val="24"/>
          <w:szCs w:val="24"/>
          <w:lang w:val="fr-FR"/>
        </w:rPr>
      </w:pPr>
    </w:p>
    <w:p w:rsidR="00867B23" w:rsidRPr="00D52D00" w:rsidRDefault="00867B23" w:rsidP="002361EF">
      <w:pPr>
        <w:spacing w:after="0" w:line="240" w:lineRule="auto"/>
        <w:ind w:left="0" w:right="49" w:firstLine="0"/>
        <w:contextualSpacing/>
        <w:rPr>
          <w:rFonts w:ascii="Times New Roman" w:hAnsi="Times New Roman" w:cs="Times New Roman"/>
          <w:b/>
          <w:bCs/>
          <w:color w:val="auto"/>
          <w:sz w:val="24"/>
          <w:szCs w:val="24"/>
          <w:lang w:val="fr-FR"/>
        </w:rPr>
      </w:pPr>
      <w:r w:rsidRPr="00D52D00">
        <w:rPr>
          <w:rFonts w:ascii="Times New Roman" w:hAnsi="Times New Roman" w:cs="Times New Roman"/>
          <w:b/>
          <w:bCs/>
          <w:color w:val="auto"/>
          <w:sz w:val="24"/>
          <w:szCs w:val="24"/>
          <w:lang w:val="fr-FR"/>
        </w:rPr>
        <w:t>Compo</w:t>
      </w:r>
      <w:r w:rsidR="000B38C1" w:rsidRPr="00D52D00">
        <w:rPr>
          <w:rFonts w:ascii="Times New Roman" w:hAnsi="Times New Roman" w:cs="Times New Roman"/>
          <w:b/>
          <w:bCs/>
          <w:color w:val="auto"/>
          <w:sz w:val="24"/>
          <w:szCs w:val="24"/>
          <w:lang w:val="fr-FR"/>
        </w:rPr>
        <w:t xml:space="preserve">sante </w:t>
      </w:r>
      <w:r w:rsidRPr="00D52D00">
        <w:rPr>
          <w:rFonts w:ascii="Times New Roman" w:hAnsi="Times New Roman" w:cs="Times New Roman"/>
          <w:b/>
          <w:bCs/>
          <w:color w:val="auto"/>
          <w:sz w:val="24"/>
          <w:szCs w:val="24"/>
          <w:lang w:val="fr-FR"/>
        </w:rPr>
        <w:t xml:space="preserve">1: </w:t>
      </w:r>
      <w:r w:rsidR="000B38C1" w:rsidRPr="00D52D00">
        <w:rPr>
          <w:rFonts w:ascii="Times New Roman" w:hAnsi="Times New Roman" w:cs="Times New Roman"/>
          <w:b/>
          <w:bCs/>
          <w:color w:val="auto"/>
          <w:sz w:val="24"/>
          <w:szCs w:val="24"/>
          <w:lang w:val="fr-FR"/>
        </w:rPr>
        <w:t>Soutien à la Production agricole (10 millions de dollars US)</w:t>
      </w:r>
    </w:p>
    <w:p w:rsidR="00867B23" w:rsidRPr="00D52D00" w:rsidRDefault="00610926" w:rsidP="002361EF">
      <w:pPr>
        <w:spacing w:after="0" w:line="240" w:lineRule="auto"/>
        <w:ind w:right="49"/>
        <w:contextualSpacing/>
        <w:rPr>
          <w:rFonts w:ascii="Times New Roman" w:hAnsi="Times New Roman" w:cs="Times New Roman"/>
          <w:b/>
          <w:bCs/>
          <w:color w:val="auto"/>
          <w:sz w:val="24"/>
          <w:szCs w:val="24"/>
          <w:lang w:val="fr-FR"/>
        </w:rPr>
      </w:pPr>
      <w:r w:rsidRPr="00D52D00">
        <w:rPr>
          <w:rFonts w:ascii="Times New Roman" w:hAnsi="Times New Roman" w:cs="Times New Roman"/>
          <w:bCs/>
          <w:color w:val="auto"/>
          <w:sz w:val="24"/>
          <w:szCs w:val="24"/>
          <w:lang w:val="fr-FR"/>
        </w:rPr>
        <w:t>Cette composante a pour objectif de soutenir une réponse accélérée de l'offre axée sur la préservation/restauration de la capacité de production des agriculteurs éligibles, afin de leur permettre de s'engager efficacement dans la production continue et élargie d'aliments de base essentiels à court terme (6-12 mois).  Le projet financera : (i) l'achat et la distribution de semences et de matériel de plantation améliorés, en mettant l'accent sur les cultures et les légumes essentiels à la sécurité alimentaire ; (ii) l'accès au matériel et à la main-d'œuvre agricoles nécessaires ; et (iii) la fourniture des services de conseil requis pour soutenir l'amélioration de la production, de la productivité et de la résilience des systèmes de production au changement climatique</w:t>
      </w:r>
      <w:r w:rsidR="00867B23" w:rsidRPr="00D52D00">
        <w:rPr>
          <w:rFonts w:ascii="Times New Roman" w:hAnsi="Times New Roman" w:cs="Times New Roman"/>
          <w:bCs/>
          <w:color w:val="auto"/>
          <w:sz w:val="24"/>
          <w:szCs w:val="24"/>
          <w:lang w:val="fr-FR"/>
        </w:rPr>
        <w:t xml:space="preserve">. </w:t>
      </w:r>
    </w:p>
    <w:p w:rsidR="004860B2" w:rsidRPr="00D52D00" w:rsidRDefault="004860B2" w:rsidP="002361EF">
      <w:pPr>
        <w:spacing w:after="0" w:line="240" w:lineRule="auto"/>
        <w:ind w:right="49"/>
        <w:contextualSpacing/>
        <w:rPr>
          <w:rFonts w:ascii="Times New Roman" w:hAnsi="Times New Roman" w:cs="Times New Roman"/>
          <w:b/>
          <w:bCs/>
          <w:color w:val="auto"/>
          <w:sz w:val="24"/>
          <w:szCs w:val="24"/>
          <w:lang w:val="fr-FR"/>
        </w:rPr>
      </w:pPr>
    </w:p>
    <w:p w:rsidR="00867B23" w:rsidRPr="00D52D00" w:rsidRDefault="00867B23" w:rsidP="002361EF">
      <w:pPr>
        <w:spacing w:after="0" w:line="240" w:lineRule="auto"/>
        <w:ind w:right="49"/>
        <w:contextualSpacing/>
        <w:rPr>
          <w:rFonts w:ascii="Times New Roman" w:hAnsi="Times New Roman" w:cs="Times New Roman"/>
          <w:b/>
          <w:bCs/>
          <w:color w:val="auto"/>
          <w:sz w:val="24"/>
          <w:szCs w:val="24"/>
          <w:lang w:val="fr-FR"/>
        </w:rPr>
      </w:pPr>
      <w:r w:rsidRPr="00D52D00">
        <w:rPr>
          <w:rFonts w:ascii="Times New Roman" w:hAnsi="Times New Roman" w:cs="Times New Roman"/>
          <w:b/>
          <w:bCs/>
          <w:color w:val="auto"/>
          <w:sz w:val="24"/>
          <w:szCs w:val="24"/>
          <w:lang w:val="fr-FR"/>
        </w:rPr>
        <w:t>Compo</w:t>
      </w:r>
      <w:r w:rsidR="00610926" w:rsidRPr="00D52D00">
        <w:rPr>
          <w:rFonts w:ascii="Times New Roman" w:hAnsi="Times New Roman" w:cs="Times New Roman"/>
          <w:b/>
          <w:bCs/>
          <w:color w:val="auto"/>
          <w:sz w:val="24"/>
          <w:szCs w:val="24"/>
          <w:lang w:val="fr-FR"/>
        </w:rPr>
        <w:t xml:space="preserve">sante </w:t>
      </w:r>
      <w:r w:rsidRPr="00D52D00">
        <w:rPr>
          <w:rFonts w:ascii="Times New Roman" w:hAnsi="Times New Roman" w:cs="Times New Roman"/>
          <w:b/>
          <w:bCs/>
          <w:color w:val="auto"/>
          <w:sz w:val="24"/>
          <w:szCs w:val="24"/>
          <w:lang w:val="fr-FR"/>
        </w:rPr>
        <w:t xml:space="preserve">2: </w:t>
      </w:r>
      <w:r w:rsidR="0097569A" w:rsidRPr="00D52D00">
        <w:rPr>
          <w:rFonts w:ascii="Times New Roman" w:hAnsi="Times New Roman" w:cs="Times New Roman"/>
          <w:b/>
          <w:bCs/>
          <w:color w:val="auto"/>
          <w:sz w:val="24"/>
          <w:szCs w:val="24"/>
          <w:lang w:val="fr-FR"/>
        </w:rPr>
        <w:t>Soutien aux filets de sécurité communautaires (2,5 millions de dollars US</w:t>
      </w:r>
      <w:r w:rsidRPr="00D52D00">
        <w:rPr>
          <w:rFonts w:ascii="Times New Roman" w:hAnsi="Times New Roman" w:cs="Times New Roman"/>
          <w:b/>
          <w:bCs/>
          <w:color w:val="auto"/>
          <w:sz w:val="24"/>
          <w:szCs w:val="24"/>
          <w:lang w:val="fr-FR"/>
        </w:rPr>
        <w:t>)</w:t>
      </w:r>
    </w:p>
    <w:p w:rsidR="00867B23" w:rsidRPr="00D52D00" w:rsidRDefault="00CE4129" w:rsidP="002361EF">
      <w:pPr>
        <w:spacing w:after="0" w:line="240" w:lineRule="auto"/>
        <w:ind w:right="49"/>
        <w:contextualSpacing/>
        <w:rPr>
          <w:rFonts w:ascii="Times New Roman" w:hAnsi="Times New Roman" w:cs="Times New Roman"/>
          <w:bCs/>
          <w:color w:val="auto"/>
          <w:sz w:val="24"/>
          <w:szCs w:val="24"/>
          <w:lang w:val="fr-FR"/>
        </w:rPr>
      </w:pPr>
      <w:r w:rsidRPr="00D52D00">
        <w:rPr>
          <w:rFonts w:ascii="Times New Roman" w:hAnsi="Times New Roman" w:cs="Times New Roman"/>
          <w:bCs/>
          <w:color w:val="auto"/>
          <w:sz w:val="24"/>
          <w:szCs w:val="24"/>
          <w:lang w:val="fr-FR"/>
        </w:rPr>
        <w:t>L'investissement au titre de cette composante vise à assurer la sécurité alimentaire des ménages pour les sections des communautés touchées par les pertes d'emploi, en atténuant les déficits de revenus attendus grâce à un soutien aux travaux publics. L'accent sera mis sur la mise en place de biens publics qui contribueraient à l'impact du soutien accordé au titre de la Composante 1 ou le renforceraient. Il pourrait s'agir d'un soutien à la distribution d'intrants, à la réhabilitation des installations de stockage, à l'ouverture de routes d'accès aux zones de production agricole, à la construction de marchés locaux, etc.  Cette composante portera principalement sur le financement, les salaires (en espèces ou en nature), les outils et équipements, et d'autres coûts non salariaux, comme cela serait nécessaire pour des travaux publics spécifiques.</w:t>
      </w:r>
    </w:p>
    <w:p w:rsidR="004860B2" w:rsidRPr="00D52D00" w:rsidRDefault="004860B2" w:rsidP="002361EF">
      <w:pPr>
        <w:spacing w:after="0" w:line="240" w:lineRule="auto"/>
        <w:ind w:left="0" w:right="49" w:firstLine="0"/>
        <w:contextualSpacing/>
        <w:rPr>
          <w:rFonts w:ascii="Times New Roman" w:hAnsi="Times New Roman" w:cs="Times New Roman"/>
          <w:b/>
          <w:bCs/>
          <w:color w:val="auto"/>
          <w:sz w:val="24"/>
          <w:szCs w:val="24"/>
          <w:lang w:val="fr-FR"/>
        </w:rPr>
      </w:pPr>
    </w:p>
    <w:p w:rsidR="00867B23" w:rsidRPr="00D52D00" w:rsidRDefault="00867B23" w:rsidP="002361EF">
      <w:pPr>
        <w:spacing w:after="0" w:line="240" w:lineRule="auto"/>
        <w:ind w:left="0" w:right="49" w:firstLine="0"/>
        <w:contextualSpacing/>
        <w:rPr>
          <w:rFonts w:ascii="Times New Roman" w:hAnsi="Times New Roman" w:cs="Times New Roman"/>
          <w:b/>
          <w:bCs/>
          <w:color w:val="auto"/>
          <w:sz w:val="24"/>
          <w:szCs w:val="24"/>
          <w:lang w:val="fr-FR"/>
        </w:rPr>
      </w:pPr>
      <w:r w:rsidRPr="00D52D00">
        <w:rPr>
          <w:rFonts w:ascii="Times New Roman" w:hAnsi="Times New Roman" w:cs="Times New Roman"/>
          <w:b/>
          <w:bCs/>
          <w:color w:val="auto"/>
          <w:sz w:val="24"/>
          <w:szCs w:val="24"/>
          <w:lang w:val="fr-FR"/>
        </w:rPr>
        <w:t>Compo</w:t>
      </w:r>
      <w:r w:rsidR="00BD2D44" w:rsidRPr="00D52D00">
        <w:rPr>
          <w:rFonts w:ascii="Times New Roman" w:hAnsi="Times New Roman" w:cs="Times New Roman"/>
          <w:b/>
          <w:bCs/>
          <w:color w:val="auto"/>
          <w:sz w:val="24"/>
          <w:szCs w:val="24"/>
          <w:lang w:val="fr-FR"/>
        </w:rPr>
        <w:t xml:space="preserve">sante </w:t>
      </w:r>
      <w:r w:rsidRPr="00D52D00">
        <w:rPr>
          <w:rFonts w:ascii="Times New Roman" w:hAnsi="Times New Roman" w:cs="Times New Roman"/>
          <w:b/>
          <w:bCs/>
          <w:color w:val="auto"/>
          <w:sz w:val="24"/>
          <w:szCs w:val="24"/>
          <w:lang w:val="fr-FR"/>
        </w:rPr>
        <w:t xml:space="preserve">3: </w:t>
      </w:r>
      <w:r w:rsidR="00BD2D44" w:rsidRPr="00D52D00">
        <w:rPr>
          <w:rFonts w:ascii="Times New Roman" w:hAnsi="Times New Roman" w:cs="Times New Roman"/>
          <w:b/>
          <w:bCs/>
          <w:color w:val="auto"/>
          <w:sz w:val="24"/>
          <w:szCs w:val="24"/>
          <w:lang w:val="fr-FR"/>
        </w:rPr>
        <w:t>Soutien à l'atténuation des risques (1,5 million de dollars US)</w:t>
      </w:r>
      <w:r w:rsidRPr="00D52D00">
        <w:rPr>
          <w:rFonts w:ascii="Times New Roman" w:hAnsi="Times New Roman" w:cs="Times New Roman"/>
          <w:b/>
          <w:bCs/>
          <w:color w:val="auto"/>
          <w:sz w:val="24"/>
          <w:szCs w:val="24"/>
          <w:lang w:val="fr-FR"/>
        </w:rPr>
        <w:t>)</w:t>
      </w:r>
    </w:p>
    <w:p w:rsidR="00867B23" w:rsidRPr="00D52D00" w:rsidRDefault="007C0665" w:rsidP="002361EF">
      <w:pPr>
        <w:spacing w:after="0" w:line="240" w:lineRule="auto"/>
        <w:ind w:right="49"/>
        <w:contextualSpacing/>
        <w:rPr>
          <w:rFonts w:ascii="Times New Roman" w:hAnsi="Times New Roman" w:cs="Times New Roman"/>
          <w:bCs/>
          <w:color w:val="auto"/>
          <w:sz w:val="24"/>
          <w:szCs w:val="24"/>
          <w:lang w:val="fr-FR"/>
        </w:rPr>
      </w:pPr>
      <w:r w:rsidRPr="00D52D00">
        <w:rPr>
          <w:rFonts w:ascii="Times New Roman" w:hAnsi="Times New Roman" w:cs="Times New Roman"/>
          <w:bCs/>
          <w:color w:val="auto"/>
          <w:sz w:val="24"/>
          <w:szCs w:val="24"/>
          <w:lang w:val="fr-FR"/>
        </w:rPr>
        <w:lastRenderedPageBreak/>
        <w:t>La proposition consiste à étudier la faisabilité, puis à piloter la mise en œuvre de mesures de gestion des risques du marché adaptées au niveau local pour le secteur de la noix de cajou. Cela permettrait de renforcer la résilience du secteur aux risques du marché auxquels il est de plus en plus exposé et jetterait les bases d'une reprise durable. Il est proposé de s'appuyer sur ces progrès lors de la mise en œuvre du projet. Dans ce contexte, le projet financerait l'assistance technique (AT), ainsi que les coûts liés au pilotage de la mesure de gestion des risques identifiée.</w:t>
      </w:r>
    </w:p>
    <w:p w:rsidR="004860B2" w:rsidRPr="00D52D00" w:rsidRDefault="004860B2" w:rsidP="002361EF">
      <w:pPr>
        <w:spacing w:after="0" w:line="240" w:lineRule="auto"/>
        <w:ind w:left="0" w:right="49" w:firstLine="0"/>
        <w:contextualSpacing/>
        <w:rPr>
          <w:rFonts w:ascii="Times New Roman" w:hAnsi="Times New Roman" w:cs="Times New Roman"/>
          <w:b/>
          <w:bCs/>
          <w:color w:val="auto"/>
          <w:sz w:val="24"/>
          <w:szCs w:val="24"/>
          <w:lang w:val="fr-FR"/>
        </w:rPr>
      </w:pPr>
    </w:p>
    <w:p w:rsidR="00867B23" w:rsidRPr="00D52D00" w:rsidRDefault="00590FA5" w:rsidP="002361EF">
      <w:pPr>
        <w:spacing w:after="0" w:line="240" w:lineRule="auto"/>
        <w:ind w:left="0" w:right="49" w:firstLine="0"/>
        <w:contextualSpacing/>
        <w:rPr>
          <w:rFonts w:ascii="Times New Roman" w:hAnsi="Times New Roman" w:cs="Times New Roman"/>
          <w:b/>
          <w:bCs/>
          <w:color w:val="auto"/>
          <w:sz w:val="24"/>
          <w:szCs w:val="24"/>
          <w:lang w:val="fr-FR"/>
        </w:rPr>
      </w:pPr>
      <w:r w:rsidRPr="00D52D00">
        <w:rPr>
          <w:rFonts w:ascii="Times New Roman" w:hAnsi="Times New Roman" w:cs="Times New Roman"/>
          <w:b/>
          <w:bCs/>
          <w:color w:val="auto"/>
          <w:sz w:val="24"/>
          <w:szCs w:val="24"/>
          <w:lang w:val="fr-FR"/>
        </w:rPr>
        <w:t>Composante 4 : Gestion du projet (1,0 million de dollars US</w:t>
      </w:r>
      <w:r w:rsidR="00867B23" w:rsidRPr="00D52D00">
        <w:rPr>
          <w:rFonts w:ascii="Times New Roman" w:hAnsi="Times New Roman" w:cs="Times New Roman"/>
          <w:b/>
          <w:bCs/>
          <w:color w:val="auto"/>
          <w:sz w:val="24"/>
          <w:szCs w:val="24"/>
          <w:lang w:val="fr-FR"/>
        </w:rPr>
        <w:t>).</w:t>
      </w:r>
    </w:p>
    <w:p w:rsidR="004E6C3B" w:rsidRPr="00D52D00" w:rsidRDefault="00D05A5A" w:rsidP="002361EF">
      <w:pPr>
        <w:spacing w:after="0"/>
        <w:rPr>
          <w:rFonts w:ascii="Times New Roman" w:hAnsi="Times New Roman" w:cs="Times New Roman"/>
          <w:bCs/>
          <w:color w:val="auto"/>
          <w:sz w:val="24"/>
          <w:szCs w:val="24"/>
          <w:lang w:val="fr-FR"/>
        </w:rPr>
      </w:pPr>
      <w:r w:rsidRPr="00D52D00">
        <w:rPr>
          <w:rFonts w:ascii="Times New Roman" w:hAnsi="Times New Roman" w:cs="Times New Roman"/>
          <w:bCs/>
          <w:color w:val="auto"/>
          <w:sz w:val="24"/>
          <w:szCs w:val="24"/>
          <w:lang w:val="fr-FR"/>
        </w:rPr>
        <w:t xml:space="preserve">Cette composante financera les activités liées à la coordination et à la gestion des projets, y compris l'élaboration de plans de travail et de budgets annuels, la gestion financière (GF) et la passation de marchés, le respect des garanties, le suivi et l'évaluation (S&amp;E), l'engagement des citoyens ainsi qu'un mécanisme de règlement des plaintes (MRP).  </w:t>
      </w:r>
    </w:p>
    <w:p w:rsidR="00867B23" w:rsidRPr="00D52D00" w:rsidRDefault="00867B23" w:rsidP="002361EF">
      <w:pPr>
        <w:spacing w:after="0" w:line="240" w:lineRule="auto"/>
        <w:ind w:left="0" w:right="49" w:firstLine="0"/>
        <w:contextualSpacing/>
        <w:rPr>
          <w:rFonts w:ascii="Times New Roman" w:hAnsi="Times New Roman" w:cs="Times New Roman"/>
          <w:b/>
          <w:bCs/>
          <w:color w:val="auto"/>
          <w:sz w:val="24"/>
          <w:szCs w:val="24"/>
          <w:lang w:val="fr-FR"/>
        </w:rPr>
      </w:pPr>
      <w:bookmarkStart w:id="0" w:name="_GoBack"/>
      <w:bookmarkEnd w:id="0"/>
      <w:r w:rsidRPr="00D52D00">
        <w:rPr>
          <w:rFonts w:ascii="Times New Roman" w:hAnsi="Times New Roman" w:cs="Times New Roman"/>
          <w:b/>
          <w:bCs/>
          <w:color w:val="auto"/>
          <w:sz w:val="24"/>
          <w:szCs w:val="24"/>
          <w:lang w:val="fr-FR"/>
        </w:rPr>
        <w:t>Compo</w:t>
      </w:r>
      <w:r w:rsidR="00D05A5A" w:rsidRPr="00D52D00">
        <w:rPr>
          <w:rFonts w:ascii="Times New Roman" w:hAnsi="Times New Roman" w:cs="Times New Roman"/>
          <w:b/>
          <w:bCs/>
          <w:color w:val="auto"/>
          <w:sz w:val="24"/>
          <w:szCs w:val="24"/>
          <w:lang w:val="fr-FR"/>
        </w:rPr>
        <w:t xml:space="preserve">sante </w:t>
      </w:r>
      <w:r w:rsidRPr="00D52D00">
        <w:rPr>
          <w:rFonts w:ascii="Times New Roman" w:hAnsi="Times New Roman" w:cs="Times New Roman"/>
          <w:b/>
          <w:bCs/>
          <w:color w:val="auto"/>
          <w:sz w:val="24"/>
          <w:szCs w:val="24"/>
          <w:lang w:val="fr-FR"/>
        </w:rPr>
        <w:t xml:space="preserve">5: </w:t>
      </w:r>
      <w:r w:rsidR="00D05A5A" w:rsidRPr="00D52D00">
        <w:rPr>
          <w:rFonts w:ascii="Times New Roman" w:hAnsi="Times New Roman" w:cs="Times New Roman"/>
          <w:b/>
          <w:bCs/>
          <w:color w:val="auto"/>
          <w:sz w:val="24"/>
          <w:szCs w:val="24"/>
          <w:lang w:val="fr-FR"/>
        </w:rPr>
        <w:t>Intervention d'urgence conditionnelle (0 million de dollars US</w:t>
      </w:r>
      <w:r w:rsidRPr="00D52D00">
        <w:rPr>
          <w:rFonts w:ascii="Times New Roman" w:hAnsi="Times New Roman" w:cs="Times New Roman"/>
          <w:b/>
          <w:bCs/>
          <w:color w:val="auto"/>
          <w:sz w:val="24"/>
          <w:szCs w:val="24"/>
          <w:lang w:val="fr-FR"/>
        </w:rPr>
        <w:t>)</w:t>
      </w:r>
    </w:p>
    <w:p w:rsidR="00867B23" w:rsidRPr="00D52D00" w:rsidRDefault="00D05A5A" w:rsidP="002361EF">
      <w:pPr>
        <w:spacing w:after="0" w:line="240" w:lineRule="auto"/>
        <w:ind w:right="49"/>
        <w:contextualSpacing/>
        <w:rPr>
          <w:rFonts w:ascii="Times New Roman" w:hAnsi="Times New Roman" w:cs="Times New Roman"/>
          <w:bCs/>
          <w:color w:val="auto"/>
          <w:sz w:val="24"/>
          <w:szCs w:val="24"/>
          <w:lang w:val="fr-FR"/>
        </w:rPr>
      </w:pPr>
      <w:r w:rsidRPr="00D52D00">
        <w:rPr>
          <w:rFonts w:ascii="Times New Roman" w:hAnsi="Times New Roman" w:cs="Times New Roman"/>
          <w:bCs/>
          <w:color w:val="auto"/>
          <w:sz w:val="24"/>
          <w:szCs w:val="24"/>
          <w:lang w:val="fr-FR"/>
        </w:rPr>
        <w:t>Cette composante d'intervention d'urgence conditionnelle à coût zéro (CERC) financera les dépenses admissibles en cas de crises naturelles ou d'origine humaine, de catastrophes, de chocs économiques graves ou d'autres crises et situations d'urgence en Guinée-Bissau</w:t>
      </w:r>
      <w:r w:rsidR="00867B23" w:rsidRPr="00D52D00">
        <w:rPr>
          <w:rFonts w:ascii="Times New Roman" w:hAnsi="Times New Roman" w:cs="Times New Roman"/>
          <w:bCs/>
          <w:color w:val="auto"/>
          <w:sz w:val="24"/>
          <w:szCs w:val="24"/>
          <w:lang w:val="fr-FR"/>
        </w:rPr>
        <w:t xml:space="preserve">. </w:t>
      </w:r>
    </w:p>
    <w:p w:rsidR="001E5DC0" w:rsidRPr="00D52D00" w:rsidRDefault="001E5DC0" w:rsidP="002361EF">
      <w:pPr>
        <w:spacing w:after="0" w:line="240" w:lineRule="auto"/>
        <w:ind w:left="0" w:right="49" w:firstLine="0"/>
        <w:contextualSpacing/>
        <w:rPr>
          <w:rFonts w:ascii="Times New Roman" w:hAnsi="Times New Roman" w:cs="Times New Roman"/>
          <w:color w:val="auto"/>
          <w:sz w:val="24"/>
          <w:szCs w:val="24"/>
          <w:lang w:val="fr-FR"/>
        </w:rPr>
      </w:pPr>
    </w:p>
    <w:p w:rsidR="00776432" w:rsidRPr="00D52D00" w:rsidRDefault="00211E78" w:rsidP="002361EF">
      <w:pPr>
        <w:spacing w:after="0" w:line="240" w:lineRule="auto"/>
        <w:ind w:left="14" w:right="43" w:hanging="14"/>
        <w:contextualSpacing/>
        <w:rPr>
          <w:rFonts w:ascii="Times New Roman" w:hAnsi="Times New Roman" w:cs="Times New Roman"/>
          <w:bCs/>
          <w:color w:val="auto"/>
          <w:sz w:val="24"/>
          <w:szCs w:val="24"/>
          <w:lang w:val="fr-FR"/>
        </w:rPr>
      </w:pPr>
      <w:r w:rsidRPr="00D52D00">
        <w:rPr>
          <w:rFonts w:ascii="Times New Roman" w:hAnsi="Times New Roman" w:cs="Times New Roman"/>
          <w:bCs/>
          <w:color w:val="auto"/>
          <w:sz w:val="24"/>
          <w:szCs w:val="24"/>
          <w:lang w:val="fr-FR"/>
        </w:rPr>
        <w:t>Le projet de sécurité alimentaire d'urgence pour la Guinée-Bissau est en cours de préparation au titre du cadre environnemental et social (CES) de la Banque mondiale. Conformément à la norme environnementale et sociale NES 10 Engagement des parties prenantes et divulgation d'informations, les agences d'exécution doivent fournir aux parties prenantes des informations à jour, pertinentes, compréhensibles et accessibles, et les consulter d'une manière culturellement appropriée, sans manipulation, interférence, coercition, discrimination et intimidation</w:t>
      </w:r>
      <w:r w:rsidR="00776432" w:rsidRPr="00D52D00">
        <w:rPr>
          <w:rFonts w:ascii="Times New Roman" w:hAnsi="Times New Roman" w:cs="Times New Roman"/>
          <w:bCs/>
          <w:color w:val="auto"/>
          <w:sz w:val="24"/>
          <w:szCs w:val="24"/>
          <w:lang w:val="fr-FR"/>
        </w:rPr>
        <w:t xml:space="preserve">. </w:t>
      </w:r>
    </w:p>
    <w:p w:rsidR="00776432" w:rsidRPr="00D52D00" w:rsidRDefault="00776432" w:rsidP="002361EF">
      <w:pPr>
        <w:spacing w:after="0" w:line="240" w:lineRule="auto"/>
        <w:ind w:left="0" w:firstLine="0"/>
        <w:contextualSpacing/>
        <w:rPr>
          <w:rFonts w:ascii="Times New Roman" w:hAnsi="Times New Roman" w:cs="Times New Roman"/>
          <w:bCs/>
          <w:color w:val="auto"/>
          <w:sz w:val="24"/>
          <w:szCs w:val="24"/>
          <w:lang w:val="fr-FR"/>
        </w:rPr>
      </w:pPr>
    </w:p>
    <w:p w:rsidR="00776432" w:rsidRPr="00D52D00" w:rsidRDefault="00E17C86" w:rsidP="002361EF">
      <w:pPr>
        <w:spacing w:after="0" w:line="240" w:lineRule="auto"/>
        <w:ind w:left="0" w:firstLine="0"/>
        <w:contextualSpacing/>
        <w:rPr>
          <w:rFonts w:ascii="Times New Roman" w:hAnsi="Times New Roman" w:cs="Times New Roman"/>
          <w:bCs/>
          <w:color w:val="auto"/>
          <w:sz w:val="24"/>
          <w:szCs w:val="24"/>
          <w:lang w:val="fr-FR"/>
        </w:rPr>
      </w:pPr>
      <w:r w:rsidRPr="00D52D00">
        <w:rPr>
          <w:rFonts w:ascii="Times New Roman" w:hAnsi="Times New Roman" w:cs="Times New Roman"/>
          <w:bCs/>
          <w:color w:val="auto"/>
          <w:sz w:val="24"/>
          <w:szCs w:val="24"/>
          <w:lang w:val="fr-FR"/>
        </w:rPr>
        <w:t>L'objectif global de ce plan d'engagement des parties prenantes (PEPP) est de définir un programme d'engagement des parties prenantes, y compris la divulgation d'informations et la consultation du public, tout au long du cycle du projet. Le PEPP décrit les moyens par lesquels l'équipe du projet communiquera avec les parties prenantes et comprend un mécanisme par lequel les personnes peuvent faire part de leurs préoccupations, de leurs réactions ou de leurs plaintes concernant le projet et toute activité afférente au projet. La participation de la population locale est essentielle à la réussite du projet afin d'assurer une collaboration harmonieuse entre le personnel du projet et les communautés locales et de minimiser et d'atténuer les risques environnementaux et sociaux liés aux activités du projet proposé. Dans le contexte des maladies infectieuses, il est particulièrement important de mener des activités de sensibilisation générales, culturellement appropriées et adaptées afin de sensibiliser convenablement les communautés aux risques liés aux maladies infectieuses</w:t>
      </w:r>
      <w:r w:rsidR="00776432" w:rsidRPr="00D52D00">
        <w:rPr>
          <w:rFonts w:ascii="Times New Roman" w:hAnsi="Times New Roman" w:cs="Times New Roman"/>
          <w:bCs/>
          <w:color w:val="auto"/>
          <w:sz w:val="24"/>
          <w:szCs w:val="24"/>
          <w:lang w:val="fr-FR"/>
        </w:rPr>
        <w:t xml:space="preserve">. </w:t>
      </w:r>
    </w:p>
    <w:p w:rsidR="00AE1B2E" w:rsidRPr="00D52D00" w:rsidRDefault="00776432" w:rsidP="002361EF">
      <w:pPr>
        <w:pStyle w:val="Titre2"/>
        <w:spacing w:after="0" w:line="240" w:lineRule="auto"/>
        <w:ind w:left="-5"/>
        <w:contextualSpacing/>
        <w:rPr>
          <w:rFonts w:ascii="Times New Roman" w:hAnsi="Times New Roman" w:cs="Times New Roman"/>
          <w:color w:val="auto"/>
          <w:sz w:val="24"/>
          <w:szCs w:val="24"/>
          <w:lang w:val="fr-FR"/>
        </w:rPr>
      </w:pPr>
      <w:r w:rsidRPr="00D52D00">
        <w:rPr>
          <w:rFonts w:ascii="Times New Roman" w:hAnsi="Times New Roman" w:cs="Times New Roman"/>
          <w:b w:val="0"/>
          <w:bCs/>
          <w:color w:val="auto"/>
          <w:sz w:val="24"/>
          <w:szCs w:val="24"/>
          <w:lang w:val="fr-FR"/>
        </w:rPr>
        <w:br/>
      </w:r>
      <w:r w:rsidRPr="00D52D00">
        <w:rPr>
          <w:rFonts w:ascii="Times New Roman" w:hAnsi="Times New Roman" w:cs="Times New Roman"/>
          <w:color w:val="auto"/>
          <w:sz w:val="24"/>
          <w:szCs w:val="24"/>
          <w:lang w:val="fr-FR"/>
        </w:rPr>
        <w:t xml:space="preserve">2. </w:t>
      </w:r>
      <w:r w:rsidR="00E17C86" w:rsidRPr="00D52D00">
        <w:rPr>
          <w:rFonts w:ascii="Times New Roman" w:hAnsi="Times New Roman" w:cs="Times New Roman"/>
          <w:color w:val="auto"/>
          <w:sz w:val="24"/>
          <w:szCs w:val="24"/>
          <w:lang w:val="fr-FR"/>
        </w:rPr>
        <w:t>Identification et analyse des parties prenantes</w:t>
      </w:r>
    </w:p>
    <w:p w:rsidR="000E5D07" w:rsidRPr="00D52D00" w:rsidRDefault="000E5D07" w:rsidP="002361EF">
      <w:pPr>
        <w:spacing w:after="0" w:line="240" w:lineRule="auto"/>
        <w:ind w:left="0" w:firstLine="0"/>
        <w:contextualSpacing/>
        <w:rPr>
          <w:rFonts w:ascii="Times New Roman" w:hAnsi="Times New Roman" w:cs="Times New Roman"/>
          <w:color w:val="auto"/>
          <w:sz w:val="24"/>
          <w:szCs w:val="24"/>
          <w:lang w:val="fr-FR"/>
        </w:rPr>
      </w:pPr>
    </w:p>
    <w:p w:rsidR="00776432" w:rsidRPr="00D52D00" w:rsidRDefault="000D0DFC" w:rsidP="002361EF">
      <w:pPr>
        <w:spacing w:after="0" w:line="240" w:lineRule="auto"/>
        <w:ind w:left="0" w:firstLine="0"/>
        <w:contextualSpacing/>
        <w:rPr>
          <w:rFonts w:ascii="Times New Roman" w:hAnsi="Times New Roman" w:cs="Times New Roman"/>
          <w:bCs/>
          <w:color w:val="auto"/>
          <w:sz w:val="24"/>
          <w:szCs w:val="24"/>
          <w:lang w:val="fr-FR"/>
        </w:rPr>
      </w:pPr>
      <w:r w:rsidRPr="00D52D00">
        <w:rPr>
          <w:rFonts w:ascii="Times New Roman" w:hAnsi="Times New Roman" w:cs="Times New Roman"/>
          <w:bCs/>
          <w:color w:val="auto"/>
          <w:sz w:val="24"/>
          <w:szCs w:val="24"/>
          <w:lang w:val="fr-FR"/>
        </w:rPr>
        <w:t>Les parties prenantes du projet sont définies comme des individus, des groupes ou d'autres entités qui</w:t>
      </w:r>
      <w:r w:rsidR="00776432" w:rsidRPr="00D52D00">
        <w:rPr>
          <w:rFonts w:ascii="Times New Roman" w:hAnsi="Times New Roman" w:cs="Times New Roman"/>
          <w:bCs/>
          <w:color w:val="auto"/>
          <w:sz w:val="24"/>
          <w:szCs w:val="24"/>
          <w:lang w:val="fr-FR"/>
        </w:rPr>
        <w:t>:</w:t>
      </w:r>
    </w:p>
    <w:p w:rsidR="00776432" w:rsidRPr="00D52D00" w:rsidRDefault="00C17157" w:rsidP="002361EF">
      <w:pPr>
        <w:numPr>
          <w:ilvl w:val="0"/>
          <w:numId w:val="1"/>
        </w:numPr>
        <w:spacing w:after="0" w:line="240" w:lineRule="auto"/>
        <w:contextualSpacing/>
        <w:jc w:val="left"/>
        <w:rPr>
          <w:rFonts w:ascii="Times New Roman" w:hAnsi="Times New Roman" w:cs="Times New Roman"/>
          <w:bCs/>
          <w:color w:val="auto"/>
          <w:sz w:val="24"/>
          <w:szCs w:val="24"/>
          <w:lang w:val="fr-FR"/>
        </w:rPr>
      </w:pPr>
      <w:r w:rsidRPr="00D52D00">
        <w:rPr>
          <w:rFonts w:ascii="Times New Roman" w:hAnsi="Times New Roman" w:cs="Times New Roman"/>
          <w:bCs/>
          <w:color w:val="auto"/>
          <w:sz w:val="24"/>
          <w:szCs w:val="24"/>
          <w:lang w:val="fr-FR"/>
        </w:rPr>
        <w:t>sont affectés ou susceptibles d'être affectés directement ou indirectement, positivement ou négativement, par le projet (également appelés "parties affectées") ; et</w:t>
      </w:r>
    </w:p>
    <w:p w:rsidR="00776432" w:rsidRPr="00D52D00" w:rsidRDefault="00666E6E" w:rsidP="002361EF">
      <w:pPr>
        <w:numPr>
          <w:ilvl w:val="0"/>
          <w:numId w:val="1"/>
        </w:numPr>
        <w:spacing w:after="0" w:line="240" w:lineRule="auto"/>
        <w:contextualSpacing/>
        <w:jc w:val="left"/>
        <w:rPr>
          <w:rFonts w:ascii="Times New Roman" w:hAnsi="Times New Roman" w:cs="Times New Roman"/>
          <w:bCs/>
          <w:color w:val="auto"/>
          <w:sz w:val="24"/>
          <w:szCs w:val="24"/>
          <w:lang w:val="fr-FR"/>
        </w:rPr>
      </w:pPr>
      <w:r w:rsidRPr="00D52D00">
        <w:rPr>
          <w:rFonts w:ascii="Times New Roman" w:hAnsi="Times New Roman" w:cs="Times New Roman"/>
          <w:bCs/>
          <w:color w:val="auto"/>
          <w:sz w:val="24"/>
          <w:szCs w:val="24"/>
          <w:lang w:val="fr-FR"/>
        </w:rPr>
        <w:t>peuvent avoir un intérêt dans le projet ("parties intéressées"). Il s'agit d'individus ou de groupes dont les intérêts peuvent être affectés par le projet et qui ont le potentiel d'influencer les résultats du projet de quelque manière que ce soit</w:t>
      </w:r>
      <w:r w:rsidR="00776432" w:rsidRPr="00D52D00">
        <w:rPr>
          <w:rFonts w:ascii="Times New Roman" w:hAnsi="Times New Roman" w:cs="Times New Roman"/>
          <w:bCs/>
          <w:color w:val="auto"/>
          <w:sz w:val="24"/>
          <w:szCs w:val="24"/>
          <w:lang w:val="fr-FR"/>
        </w:rPr>
        <w:t>.</w:t>
      </w:r>
    </w:p>
    <w:p w:rsidR="00776432" w:rsidRPr="00D52D00" w:rsidRDefault="00776432" w:rsidP="002361EF">
      <w:pPr>
        <w:spacing w:after="0" w:line="240" w:lineRule="auto"/>
        <w:ind w:left="0" w:firstLine="0"/>
        <w:contextualSpacing/>
        <w:rPr>
          <w:rFonts w:ascii="Times New Roman" w:hAnsi="Times New Roman" w:cs="Times New Roman"/>
          <w:color w:val="auto"/>
          <w:sz w:val="24"/>
          <w:szCs w:val="24"/>
          <w:lang w:val="fr-FR" w:bidi="th-TH"/>
        </w:rPr>
      </w:pPr>
      <w:r w:rsidRPr="00D52D00">
        <w:rPr>
          <w:rFonts w:ascii="Times New Roman" w:hAnsi="Times New Roman" w:cs="Times New Roman"/>
          <w:bCs/>
          <w:color w:val="auto"/>
          <w:sz w:val="24"/>
          <w:szCs w:val="24"/>
          <w:lang w:val="fr-FR"/>
        </w:rPr>
        <w:lastRenderedPageBreak/>
        <w:br/>
      </w:r>
      <w:r w:rsidR="00317592" w:rsidRPr="00D52D00">
        <w:rPr>
          <w:rFonts w:ascii="Times New Roman" w:hAnsi="Times New Roman" w:cs="Times New Roman"/>
          <w:color w:val="auto"/>
          <w:sz w:val="24"/>
          <w:szCs w:val="24"/>
          <w:lang w:val="fr-FR" w:bidi="th-TH"/>
        </w:rPr>
        <w:t>Pour assurer un engagement efficace et adapté, les parties prenantes au(x) projet(s) proposé(s) peuvent être réparties dans les catégories de base suivantes</w:t>
      </w:r>
      <w:r w:rsidRPr="00D52D00">
        <w:rPr>
          <w:rFonts w:ascii="Times New Roman" w:hAnsi="Times New Roman" w:cs="Times New Roman"/>
          <w:color w:val="auto"/>
          <w:sz w:val="24"/>
          <w:szCs w:val="24"/>
          <w:lang w:val="fr-FR" w:bidi="th-TH"/>
        </w:rPr>
        <w:t>:</w:t>
      </w:r>
    </w:p>
    <w:p w:rsidR="00B91979" w:rsidRPr="00D52D00" w:rsidRDefault="00B91979" w:rsidP="002361EF">
      <w:pPr>
        <w:spacing w:after="0" w:line="240" w:lineRule="auto"/>
        <w:ind w:left="180" w:firstLine="0"/>
        <w:contextualSpacing/>
        <w:jc w:val="left"/>
        <w:rPr>
          <w:rFonts w:ascii="Times New Roman" w:hAnsi="Times New Roman" w:cs="Times New Roman"/>
          <w:color w:val="auto"/>
          <w:sz w:val="24"/>
          <w:szCs w:val="24"/>
          <w:lang w:val="fr-FR"/>
        </w:rPr>
      </w:pPr>
    </w:p>
    <w:p w:rsidR="00B91979" w:rsidRPr="00D52D00" w:rsidRDefault="00317592" w:rsidP="002361EF">
      <w:pPr>
        <w:spacing w:after="0" w:line="240" w:lineRule="auto"/>
        <w:ind w:left="0" w:firstLine="0"/>
        <w:contextualSpacing/>
        <w:jc w:val="left"/>
        <w:rPr>
          <w:rFonts w:ascii="Times New Roman" w:hAnsi="Times New Roman" w:cs="Times New Roman"/>
          <w:color w:val="auto"/>
          <w:sz w:val="24"/>
          <w:szCs w:val="24"/>
          <w:lang w:val="fr-FR"/>
        </w:rPr>
      </w:pPr>
      <w:r w:rsidRPr="00D52D00">
        <w:rPr>
          <w:rFonts w:ascii="Times New Roman" w:hAnsi="Times New Roman" w:cs="Times New Roman"/>
          <w:b/>
          <w:color w:val="auto"/>
          <w:sz w:val="24"/>
          <w:szCs w:val="24"/>
          <w:lang w:val="fr-FR"/>
        </w:rPr>
        <w:t>Parties affectées</w:t>
      </w:r>
    </w:p>
    <w:p w:rsidR="00381068" w:rsidRPr="00D52D00" w:rsidRDefault="00381068" w:rsidP="002361EF">
      <w:pPr>
        <w:spacing w:after="0" w:line="240" w:lineRule="auto"/>
        <w:ind w:right="49"/>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 xml:space="preserve">Il s'agit des communautés locales, des membres de la communauté et d'autres parties qui peuvent être exposées aux impacts directs du projet. Plus précisément, les groupes suivants entrent dans cette catégorie : </w:t>
      </w:r>
    </w:p>
    <w:p w:rsidR="00381068" w:rsidRPr="00D52D00" w:rsidRDefault="00381068" w:rsidP="002361EF">
      <w:pPr>
        <w:pStyle w:val="Paragraphedeliste"/>
        <w:numPr>
          <w:ilvl w:val="0"/>
          <w:numId w:val="3"/>
        </w:numPr>
        <w:spacing w:after="0" w:line="240" w:lineRule="auto"/>
        <w:ind w:right="49"/>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 xml:space="preserve">Petits exploitants agricoles et maraîchers </w:t>
      </w:r>
    </w:p>
    <w:p w:rsidR="00381068" w:rsidRPr="00D52D00" w:rsidRDefault="00381068" w:rsidP="002361EF">
      <w:pPr>
        <w:pStyle w:val="Paragraphedeliste"/>
        <w:numPr>
          <w:ilvl w:val="0"/>
          <w:numId w:val="3"/>
        </w:numPr>
        <w:spacing w:after="0" w:line="240" w:lineRule="auto"/>
        <w:ind w:right="49"/>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Autres membres de la communauté</w:t>
      </w:r>
    </w:p>
    <w:p w:rsidR="00B91979" w:rsidRPr="00D52D00" w:rsidRDefault="00381068" w:rsidP="002361EF">
      <w:pPr>
        <w:pStyle w:val="Paragraphedeliste"/>
        <w:numPr>
          <w:ilvl w:val="0"/>
          <w:numId w:val="3"/>
        </w:numPr>
        <w:spacing w:after="0" w:line="240" w:lineRule="auto"/>
        <w:ind w:right="49"/>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Travailleurs sur les chantiers de travaux publics</w:t>
      </w:r>
    </w:p>
    <w:p w:rsidR="007B254C" w:rsidRPr="00D52D00" w:rsidRDefault="007B254C" w:rsidP="002361EF">
      <w:pPr>
        <w:spacing w:after="0" w:line="240" w:lineRule="auto"/>
        <w:contextualSpacing/>
        <w:jc w:val="left"/>
        <w:rPr>
          <w:rFonts w:ascii="Times New Roman" w:hAnsi="Times New Roman" w:cs="Times New Roman"/>
          <w:color w:val="auto"/>
          <w:sz w:val="24"/>
          <w:szCs w:val="24"/>
          <w:lang w:val="fr-FR"/>
        </w:rPr>
      </w:pPr>
    </w:p>
    <w:p w:rsidR="00B91979" w:rsidRPr="00D52D00" w:rsidRDefault="002C2214" w:rsidP="002361EF">
      <w:pPr>
        <w:spacing w:after="0" w:line="240" w:lineRule="auto"/>
        <w:contextualSpacing/>
        <w:jc w:val="left"/>
        <w:rPr>
          <w:rFonts w:ascii="Times New Roman" w:hAnsi="Times New Roman" w:cs="Times New Roman"/>
          <w:color w:val="auto"/>
          <w:sz w:val="24"/>
          <w:szCs w:val="24"/>
          <w:lang w:val="fr-FR"/>
        </w:rPr>
      </w:pPr>
      <w:r w:rsidRPr="00D52D00">
        <w:rPr>
          <w:rFonts w:ascii="Times New Roman" w:hAnsi="Times New Roman" w:cs="Times New Roman"/>
          <w:b/>
          <w:color w:val="auto"/>
          <w:sz w:val="24"/>
          <w:szCs w:val="24"/>
          <w:lang w:val="fr-FR"/>
        </w:rPr>
        <w:t>Autres parties intéressées</w:t>
      </w:r>
    </w:p>
    <w:p w:rsidR="002C2214" w:rsidRPr="00D52D00" w:rsidRDefault="002C2214" w:rsidP="002361EF">
      <w:pPr>
        <w:pStyle w:val="Paragraphedeliste"/>
        <w:numPr>
          <w:ilvl w:val="0"/>
          <w:numId w:val="26"/>
        </w:numPr>
        <w:spacing w:after="0" w:line="240" w:lineRule="auto"/>
        <w:jc w:val="left"/>
        <w:rPr>
          <w:rFonts w:ascii="Times New Roman" w:hAnsi="Times New Roman" w:cs="Times New Roman"/>
          <w:color w:val="auto"/>
          <w:sz w:val="24"/>
          <w:szCs w:val="24"/>
          <w:lang w:val="fr-FR" w:bidi="th-TH"/>
        </w:rPr>
      </w:pPr>
      <w:r w:rsidRPr="00D52D00">
        <w:rPr>
          <w:rFonts w:ascii="Times New Roman" w:hAnsi="Times New Roman" w:cs="Times New Roman"/>
          <w:color w:val="auto"/>
          <w:sz w:val="24"/>
          <w:szCs w:val="24"/>
          <w:lang w:val="fr-FR" w:bidi="th-TH"/>
        </w:rPr>
        <w:t>Médias traditionnels et sociaux</w:t>
      </w:r>
    </w:p>
    <w:p w:rsidR="002C2214" w:rsidRPr="00D52D00" w:rsidRDefault="002C2214" w:rsidP="002361EF">
      <w:pPr>
        <w:pStyle w:val="Paragraphedeliste"/>
        <w:numPr>
          <w:ilvl w:val="0"/>
          <w:numId w:val="24"/>
        </w:numPr>
        <w:spacing w:after="0" w:line="240" w:lineRule="auto"/>
        <w:jc w:val="left"/>
        <w:rPr>
          <w:rFonts w:ascii="Times New Roman" w:hAnsi="Times New Roman" w:cs="Times New Roman"/>
          <w:color w:val="auto"/>
          <w:sz w:val="24"/>
          <w:szCs w:val="24"/>
          <w:lang w:val="fr-FR" w:bidi="th-TH"/>
        </w:rPr>
      </w:pPr>
      <w:r w:rsidRPr="00D52D00">
        <w:rPr>
          <w:rFonts w:ascii="Times New Roman" w:hAnsi="Times New Roman" w:cs="Times New Roman"/>
          <w:color w:val="auto"/>
          <w:sz w:val="24"/>
          <w:szCs w:val="24"/>
          <w:lang w:val="fr-FR" w:bidi="th-TH"/>
        </w:rPr>
        <w:t>Politiciens</w:t>
      </w:r>
    </w:p>
    <w:p w:rsidR="002C2214" w:rsidRPr="00D52D00" w:rsidRDefault="002C2214" w:rsidP="002361EF">
      <w:pPr>
        <w:pStyle w:val="Paragraphedeliste"/>
        <w:numPr>
          <w:ilvl w:val="0"/>
          <w:numId w:val="24"/>
        </w:numPr>
        <w:spacing w:after="0" w:line="240" w:lineRule="auto"/>
        <w:jc w:val="left"/>
        <w:rPr>
          <w:rFonts w:ascii="Times New Roman" w:hAnsi="Times New Roman" w:cs="Times New Roman"/>
          <w:color w:val="auto"/>
          <w:sz w:val="24"/>
          <w:szCs w:val="24"/>
          <w:lang w:val="fr-FR" w:bidi="th-TH"/>
        </w:rPr>
      </w:pPr>
      <w:r w:rsidRPr="00D52D00">
        <w:rPr>
          <w:rFonts w:ascii="Times New Roman" w:hAnsi="Times New Roman" w:cs="Times New Roman"/>
          <w:color w:val="auto"/>
          <w:sz w:val="24"/>
          <w:szCs w:val="24"/>
          <w:lang w:val="fr-FR" w:bidi="th-TH"/>
        </w:rPr>
        <w:t xml:space="preserve">Partenaires de développement </w:t>
      </w:r>
    </w:p>
    <w:p w:rsidR="002C2214" w:rsidRPr="00D52D00" w:rsidRDefault="002C2214" w:rsidP="002361EF">
      <w:pPr>
        <w:pStyle w:val="Paragraphedeliste"/>
        <w:numPr>
          <w:ilvl w:val="0"/>
          <w:numId w:val="24"/>
        </w:numPr>
        <w:spacing w:after="0" w:line="240" w:lineRule="auto"/>
        <w:jc w:val="left"/>
        <w:rPr>
          <w:rFonts w:ascii="Times New Roman" w:hAnsi="Times New Roman" w:cs="Times New Roman"/>
          <w:color w:val="auto"/>
          <w:sz w:val="24"/>
          <w:szCs w:val="24"/>
          <w:lang w:val="fr-FR" w:bidi="th-TH"/>
        </w:rPr>
      </w:pPr>
      <w:r w:rsidRPr="00D52D00">
        <w:rPr>
          <w:rFonts w:ascii="Times New Roman" w:hAnsi="Times New Roman" w:cs="Times New Roman"/>
          <w:color w:val="auto"/>
          <w:sz w:val="24"/>
          <w:szCs w:val="24"/>
          <w:lang w:val="fr-FR" w:bidi="th-TH"/>
        </w:rPr>
        <w:t>Organisation non gouvernementale</w:t>
      </w:r>
    </w:p>
    <w:p w:rsidR="002C2214" w:rsidRPr="00D52D00" w:rsidRDefault="002C2214" w:rsidP="002361EF">
      <w:pPr>
        <w:pStyle w:val="Paragraphedeliste"/>
        <w:numPr>
          <w:ilvl w:val="0"/>
          <w:numId w:val="24"/>
        </w:numPr>
        <w:spacing w:after="0" w:line="240" w:lineRule="auto"/>
        <w:jc w:val="left"/>
        <w:rPr>
          <w:rFonts w:ascii="Times New Roman" w:hAnsi="Times New Roman" w:cs="Times New Roman"/>
          <w:color w:val="auto"/>
          <w:sz w:val="24"/>
          <w:szCs w:val="24"/>
          <w:lang w:val="fr-FR" w:bidi="th-TH"/>
        </w:rPr>
      </w:pPr>
      <w:r w:rsidRPr="00D52D00">
        <w:rPr>
          <w:rFonts w:ascii="Times New Roman" w:hAnsi="Times New Roman" w:cs="Times New Roman"/>
          <w:color w:val="auto"/>
          <w:sz w:val="24"/>
          <w:szCs w:val="24"/>
          <w:lang w:val="fr-FR" w:bidi="th-TH"/>
        </w:rPr>
        <w:t>Entreprises de cajou</w:t>
      </w:r>
    </w:p>
    <w:p w:rsidR="00776432" w:rsidRPr="00D52D00" w:rsidRDefault="002C2214" w:rsidP="002361EF">
      <w:pPr>
        <w:pStyle w:val="Paragraphedeliste"/>
        <w:numPr>
          <w:ilvl w:val="0"/>
          <w:numId w:val="24"/>
        </w:numPr>
        <w:spacing w:after="0" w:line="240" w:lineRule="auto"/>
        <w:jc w:val="left"/>
        <w:rPr>
          <w:rFonts w:ascii="Times New Roman" w:hAnsi="Times New Roman" w:cs="Times New Roman"/>
          <w:color w:val="auto"/>
          <w:sz w:val="24"/>
          <w:szCs w:val="24"/>
          <w:lang w:val="fr-FR" w:bidi="th-TH"/>
        </w:rPr>
      </w:pPr>
      <w:r w:rsidRPr="00D52D00">
        <w:rPr>
          <w:rFonts w:ascii="Times New Roman" w:hAnsi="Times New Roman" w:cs="Times New Roman"/>
          <w:color w:val="auto"/>
          <w:sz w:val="24"/>
          <w:szCs w:val="24"/>
          <w:lang w:val="fr-FR" w:bidi="th-TH"/>
        </w:rPr>
        <w:t>Le grand public</w:t>
      </w:r>
    </w:p>
    <w:p w:rsidR="00B91979" w:rsidRPr="00D52D00" w:rsidRDefault="00776432" w:rsidP="002361EF">
      <w:pPr>
        <w:numPr>
          <w:ilvl w:val="0"/>
          <w:numId w:val="3"/>
        </w:numPr>
        <w:spacing w:after="0" w:line="240" w:lineRule="auto"/>
        <w:ind w:left="180" w:hanging="180"/>
        <w:contextualSpacing/>
        <w:jc w:val="left"/>
        <w:rPr>
          <w:rFonts w:ascii="Times New Roman" w:hAnsi="Times New Roman" w:cs="Times New Roman"/>
          <w:color w:val="auto"/>
          <w:sz w:val="24"/>
          <w:szCs w:val="24"/>
          <w:lang w:val="fr-FR"/>
        </w:rPr>
      </w:pPr>
      <w:r w:rsidRPr="00D52D00">
        <w:rPr>
          <w:rFonts w:ascii="Times New Roman" w:hAnsi="Times New Roman" w:cs="Times New Roman"/>
          <w:b/>
          <w:color w:val="auto"/>
          <w:sz w:val="24"/>
          <w:szCs w:val="24"/>
          <w:lang w:val="fr-FR"/>
        </w:rPr>
        <w:t>Group</w:t>
      </w:r>
      <w:r w:rsidR="002C2214" w:rsidRPr="00D52D00">
        <w:rPr>
          <w:rFonts w:ascii="Times New Roman" w:hAnsi="Times New Roman" w:cs="Times New Roman"/>
          <w:b/>
          <w:color w:val="auto"/>
          <w:sz w:val="24"/>
          <w:szCs w:val="24"/>
          <w:lang w:val="fr-FR"/>
        </w:rPr>
        <w:t>e</w:t>
      </w:r>
      <w:r w:rsidRPr="00D52D00">
        <w:rPr>
          <w:rFonts w:ascii="Times New Roman" w:hAnsi="Times New Roman" w:cs="Times New Roman"/>
          <w:b/>
          <w:color w:val="auto"/>
          <w:sz w:val="24"/>
          <w:szCs w:val="24"/>
          <w:lang w:val="fr-FR"/>
        </w:rPr>
        <w:t>s</w:t>
      </w:r>
      <w:r w:rsidR="002C2214" w:rsidRPr="00D52D00">
        <w:rPr>
          <w:rFonts w:ascii="Times New Roman" w:hAnsi="Times New Roman" w:cs="Times New Roman"/>
          <w:b/>
          <w:color w:val="auto"/>
          <w:sz w:val="24"/>
          <w:szCs w:val="24"/>
          <w:lang w:val="fr-FR"/>
        </w:rPr>
        <w:t xml:space="preserve"> vulnérables </w:t>
      </w:r>
    </w:p>
    <w:p w:rsidR="00B91979" w:rsidRPr="00D52D00" w:rsidRDefault="002C2214" w:rsidP="002361EF">
      <w:pPr>
        <w:numPr>
          <w:ilvl w:val="0"/>
          <w:numId w:val="3"/>
        </w:numPr>
        <w:spacing w:after="0" w:line="240" w:lineRule="auto"/>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Personnes âgées et jeunes</w:t>
      </w:r>
    </w:p>
    <w:p w:rsidR="002C2214" w:rsidRPr="00D52D00" w:rsidRDefault="002C2214" w:rsidP="002361EF">
      <w:pPr>
        <w:numPr>
          <w:ilvl w:val="0"/>
          <w:numId w:val="3"/>
        </w:numPr>
        <w:spacing w:after="0" w:line="240" w:lineRule="auto"/>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 xml:space="preserve">Personnes handicapées </w:t>
      </w:r>
    </w:p>
    <w:p w:rsidR="00B91979" w:rsidRPr="00D52D00" w:rsidRDefault="002C2214" w:rsidP="002361EF">
      <w:pPr>
        <w:numPr>
          <w:ilvl w:val="0"/>
          <w:numId w:val="3"/>
        </w:numPr>
        <w:spacing w:after="0" w:line="240" w:lineRule="auto"/>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Ménages dirigés par une femme ou mères célibataires avec des enfants mineurs</w:t>
      </w:r>
    </w:p>
    <w:p w:rsidR="0086715B" w:rsidRPr="00D52D00" w:rsidRDefault="0086715B" w:rsidP="002361EF">
      <w:pPr>
        <w:spacing w:after="0" w:line="240" w:lineRule="auto"/>
        <w:ind w:left="0" w:firstLine="0"/>
        <w:contextualSpacing/>
        <w:jc w:val="left"/>
        <w:rPr>
          <w:rFonts w:ascii="Times New Roman" w:hAnsi="Times New Roman" w:cs="Times New Roman"/>
          <w:b/>
          <w:color w:val="auto"/>
          <w:sz w:val="24"/>
          <w:szCs w:val="24"/>
          <w:lang w:val="fr-FR"/>
        </w:rPr>
      </w:pPr>
    </w:p>
    <w:p w:rsidR="00DB7CCF" w:rsidRPr="00D52D00" w:rsidRDefault="00776432" w:rsidP="002361EF">
      <w:pPr>
        <w:spacing w:after="0"/>
        <w:rPr>
          <w:rFonts w:ascii="Times New Roman" w:hAnsi="Times New Roman" w:cs="Times New Roman"/>
          <w:b/>
          <w:color w:val="auto"/>
          <w:sz w:val="24"/>
          <w:szCs w:val="24"/>
          <w:lang w:val="fr-FR"/>
        </w:rPr>
      </w:pPr>
      <w:r w:rsidRPr="00D52D00">
        <w:rPr>
          <w:rFonts w:ascii="Times New Roman" w:hAnsi="Times New Roman" w:cs="Times New Roman"/>
          <w:color w:val="auto"/>
          <w:sz w:val="24"/>
          <w:szCs w:val="24"/>
          <w:lang w:val="fr-FR"/>
        </w:rPr>
        <w:t xml:space="preserve">3. </w:t>
      </w:r>
      <w:r w:rsidR="00DB7CCF" w:rsidRPr="00D52D00">
        <w:rPr>
          <w:rFonts w:ascii="Times New Roman" w:hAnsi="Times New Roman" w:cs="Times New Roman"/>
          <w:b/>
          <w:color w:val="auto"/>
          <w:sz w:val="24"/>
          <w:szCs w:val="24"/>
          <w:lang w:val="fr-FR"/>
        </w:rPr>
        <w:t xml:space="preserve">Programme d'engagement des parties prenantes </w:t>
      </w:r>
    </w:p>
    <w:p w:rsidR="00B91979" w:rsidRPr="00D52D00" w:rsidRDefault="00B91979" w:rsidP="002361EF">
      <w:pPr>
        <w:pStyle w:val="Titre2"/>
        <w:spacing w:after="0" w:line="240" w:lineRule="auto"/>
        <w:ind w:left="-5"/>
        <w:contextualSpacing/>
        <w:rPr>
          <w:rFonts w:ascii="Times New Roman" w:hAnsi="Times New Roman" w:cs="Times New Roman"/>
          <w:color w:val="auto"/>
          <w:sz w:val="24"/>
          <w:szCs w:val="24"/>
          <w:lang w:val="fr-FR"/>
        </w:rPr>
      </w:pPr>
    </w:p>
    <w:p w:rsidR="00776432" w:rsidRPr="00D52D00" w:rsidRDefault="00776432" w:rsidP="002361EF">
      <w:pPr>
        <w:pStyle w:val="Titre3"/>
        <w:spacing w:after="0" w:line="240" w:lineRule="auto"/>
        <w:ind w:left="0" w:firstLine="0"/>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 xml:space="preserve">3.1. </w:t>
      </w:r>
      <w:r w:rsidR="007C6175" w:rsidRPr="00D52D00">
        <w:rPr>
          <w:rFonts w:ascii="Times New Roman" w:hAnsi="Times New Roman" w:cs="Times New Roman"/>
          <w:color w:val="auto"/>
          <w:sz w:val="24"/>
          <w:szCs w:val="24"/>
          <w:lang w:val="fr-FR"/>
        </w:rPr>
        <w:t>Résumé de l'engagement des parties prenantes lors de la préparation du projet</w:t>
      </w:r>
    </w:p>
    <w:p w:rsidR="00233368" w:rsidRPr="00D52D00" w:rsidRDefault="00233368" w:rsidP="002361EF">
      <w:pPr>
        <w:shd w:val="clear" w:color="auto" w:fill="FFFFFF"/>
        <w:spacing w:after="0" w:line="253" w:lineRule="atLeast"/>
        <w:ind w:left="0" w:firstLine="0"/>
        <w:rPr>
          <w:rFonts w:ascii="Times New Roman" w:eastAsiaTheme="minorHAnsi" w:hAnsi="Times New Roman" w:cs="Times New Roman"/>
          <w:color w:val="auto"/>
          <w:sz w:val="24"/>
          <w:szCs w:val="24"/>
          <w:bdr w:val="none" w:sz="0" w:space="0" w:color="auto" w:frame="1"/>
          <w:lang w:val="fr-FR"/>
        </w:rPr>
      </w:pPr>
      <w:r w:rsidRPr="00D52D00">
        <w:rPr>
          <w:rFonts w:ascii="Times New Roman" w:eastAsiaTheme="minorHAnsi" w:hAnsi="Times New Roman" w:cs="Times New Roman"/>
          <w:color w:val="auto"/>
          <w:sz w:val="24"/>
          <w:szCs w:val="24"/>
          <w:bdr w:val="none" w:sz="0" w:space="0" w:color="auto" w:frame="1"/>
          <w:lang w:val="fr-FR"/>
        </w:rPr>
        <w:t> </w:t>
      </w:r>
      <w:r w:rsidR="0018285F" w:rsidRPr="00D52D00">
        <w:rPr>
          <w:rFonts w:ascii="Times New Roman" w:eastAsiaTheme="minorHAnsi" w:hAnsi="Times New Roman" w:cs="Times New Roman"/>
          <w:color w:val="auto"/>
          <w:sz w:val="24"/>
          <w:szCs w:val="24"/>
          <w:bdr w:val="none" w:sz="0" w:space="0" w:color="auto" w:frame="1"/>
          <w:lang w:val="fr-FR"/>
        </w:rPr>
        <w:t>TBD</w:t>
      </w:r>
    </w:p>
    <w:p w:rsidR="0018285F" w:rsidRPr="00D52D00" w:rsidRDefault="0018285F" w:rsidP="002361EF">
      <w:pPr>
        <w:shd w:val="clear" w:color="auto" w:fill="FFFFFF"/>
        <w:spacing w:after="0" w:line="253" w:lineRule="atLeast"/>
        <w:ind w:left="0" w:firstLine="0"/>
        <w:rPr>
          <w:rFonts w:ascii="Times New Roman" w:eastAsiaTheme="minorHAnsi" w:hAnsi="Times New Roman" w:cs="Times New Roman"/>
          <w:color w:val="auto"/>
          <w:sz w:val="24"/>
          <w:szCs w:val="24"/>
          <w:lang w:val="fr-FR"/>
        </w:rPr>
      </w:pPr>
    </w:p>
    <w:p w:rsidR="007C6175" w:rsidRPr="00D52D00" w:rsidRDefault="00233368" w:rsidP="002361EF">
      <w:pPr>
        <w:pStyle w:val="Titre3"/>
        <w:spacing w:after="0" w:line="240" w:lineRule="auto"/>
        <w:ind w:left="0"/>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3</w:t>
      </w:r>
      <w:r w:rsidR="00776432" w:rsidRPr="00D52D00">
        <w:rPr>
          <w:rFonts w:ascii="Times New Roman" w:hAnsi="Times New Roman" w:cs="Times New Roman"/>
          <w:color w:val="auto"/>
          <w:sz w:val="24"/>
          <w:szCs w:val="24"/>
          <w:lang w:val="fr-FR"/>
        </w:rPr>
        <w:t xml:space="preserve">.2. </w:t>
      </w:r>
      <w:r w:rsidR="007C6175" w:rsidRPr="00D52D00">
        <w:rPr>
          <w:rFonts w:ascii="Times New Roman" w:hAnsi="Times New Roman" w:cs="Times New Roman"/>
          <w:color w:val="auto"/>
          <w:sz w:val="24"/>
          <w:szCs w:val="24"/>
          <w:lang w:val="fr-FR"/>
        </w:rPr>
        <w:t>Résumé des besoins des parties prenantes du projet et des méthodes, outils et techniques d'engagement des parties prenantes</w:t>
      </w:r>
    </w:p>
    <w:p w:rsidR="00776432" w:rsidRPr="00D52D00" w:rsidRDefault="00E47DAE"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z w:val="24"/>
          <w:szCs w:val="24"/>
          <w:lang w:val="fr-FR"/>
        </w:rPr>
        <w:t>Le projet soutiendra une campagne de communication, de mobilisation et d'engagement communautaire visant à sensibiliser et à informer le grand public sur la prévention et le contrôle du COVID-19. Il contribuera à renforcer les capacités des structures communautaires à promouvoir les messages de prévention du coronavirus. Le projet coordonnera et contrôlera toutes les interventions de communication et le développement de matériel au niveau national et régional pendant la mise en œuvre</w:t>
      </w:r>
      <w:r w:rsidR="00371261" w:rsidRPr="00D52D00">
        <w:rPr>
          <w:rFonts w:ascii="Times New Roman" w:eastAsia="Times New Roman" w:hAnsi="Times New Roman" w:cs="Times New Roman"/>
          <w:color w:val="auto"/>
          <w:sz w:val="24"/>
          <w:szCs w:val="24"/>
          <w:lang w:val="fr-FR"/>
        </w:rPr>
        <w:t>.</w:t>
      </w:r>
    </w:p>
    <w:p w:rsidR="00B91979" w:rsidRPr="00D52D00" w:rsidRDefault="00B91979" w:rsidP="002361EF">
      <w:pPr>
        <w:pStyle w:val="Titre3"/>
        <w:spacing w:after="0" w:line="240" w:lineRule="auto"/>
        <w:ind w:left="0" w:firstLine="0"/>
        <w:contextualSpacing/>
        <w:rPr>
          <w:rFonts w:ascii="Times New Roman" w:hAnsi="Times New Roman" w:cs="Times New Roman"/>
          <w:color w:val="auto"/>
          <w:sz w:val="24"/>
          <w:szCs w:val="24"/>
          <w:lang w:val="fr-FR"/>
        </w:rPr>
      </w:pPr>
    </w:p>
    <w:p w:rsidR="00F3157D" w:rsidRPr="00D52D00" w:rsidRDefault="00F3157D" w:rsidP="002361EF">
      <w:pPr>
        <w:pStyle w:val="Titre3"/>
        <w:spacing w:after="0" w:line="240" w:lineRule="auto"/>
        <w:ind w:left="0" w:firstLine="0"/>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3.</w:t>
      </w:r>
      <w:r w:rsidR="00B91979" w:rsidRPr="00D52D00">
        <w:rPr>
          <w:rFonts w:ascii="Times New Roman" w:hAnsi="Times New Roman" w:cs="Times New Roman"/>
          <w:color w:val="auto"/>
          <w:sz w:val="24"/>
          <w:szCs w:val="24"/>
          <w:lang w:val="fr-FR"/>
        </w:rPr>
        <w:t>3</w:t>
      </w:r>
      <w:r w:rsidRPr="00D52D00">
        <w:rPr>
          <w:rFonts w:ascii="Times New Roman" w:hAnsi="Times New Roman" w:cs="Times New Roman"/>
          <w:color w:val="auto"/>
          <w:sz w:val="24"/>
          <w:szCs w:val="24"/>
          <w:lang w:val="fr-FR"/>
        </w:rPr>
        <w:t xml:space="preserve">. </w:t>
      </w:r>
      <w:r w:rsidR="00495653" w:rsidRPr="00D52D00">
        <w:rPr>
          <w:rFonts w:ascii="Times New Roman" w:hAnsi="Times New Roman" w:cs="Times New Roman"/>
          <w:color w:val="auto"/>
          <w:sz w:val="24"/>
          <w:szCs w:val="24"/>
          <w:lang w:val="fr-FR"/>
        </w:rPr>
        <w:t xml:space="preserve">Proposition de stratégie de consultation </w:t>
      </w:r>
    </w:p>
    <w:p w:rsidR="000330AE" w:rsidRPr="00D52D00" w:rsidRDefault="008E34B1"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z w:val="24"/>
          <w:szCs w:val="24"/>
          <w:lang w:val="fr-FR"/>
        </w:rPr>
        <w:t xml:space="preserve">Le projet veillera à ce que les activités soient inclusives et culturellement adaptées, en s'assurant que les groupes vulnérables décrits ci-dessus bénéficient également du projet. Dans cette optique, le projet privilégiera la communication en face à face, y compris la sensibilisation des ménages, les discussions de groupe et les consultations dans les villages en utilisant différentes langues et images, si nécessaire. Le projet tiendra compte du fait que certains groupes (ex-femmes, filles, minorités, </w:t>
      </w:r>
      <w:r w:rsidRPr="00D52D00">
        <w:rPr>
          <w:rFonts w:ascii="Times New Roman" w:eastAsia="Times New Roman" w:hAnsi="Times New Roman" w:cs="Times New Roman"/>
          <w:color w:val="auto"/>
          <w:sz w:val="24"/>
          <w:szCs w:val="24"/>
          <w:lang w:val="fr-FR"/>
        </w:rPr>
        <w:lastRenderedPageBreak/>
        <w:t>personnes vivant avec un handicap, etc.) peuvent avoir des difficultés à participer aux activités d'engagement des parties prenantes en raison de leur sexe et des normes sociales et, par conséquent, il prévoira des activités spécifiques et séparées pour de petits groupes répartis par sexe et par âge et animés par une personne du même sexe afin d'encourager des échanges libres et ouverts</w:t>
      </w:r>
      <w:r w:rsidR="000330AE" w:rsidRPr="00D52D00">
        <w:rPr>
          <w:rFonts w:ascii="Times New Roman" w:eastAsia="Times New Roman" w:hAnsi="Times New Roman" w:cs="Times New Roman"/>
          <w:color w:val="auto"/>
          <w:sz w:val="24"/>
          <w:szCs w:val="24"/>
          <w:lang w:val="fr-FR"/>
        </w:rPr>
        <w:t>.</w:t>
      </w:r>
    </w:p>
    <w:p w:rsidR="00972E3A" w:rsidRPr="00D52D00" w:rsidRDefault="00972E3A"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eastAsia="Times New Roman" w:hAnsi="Times New Roman" w:cs="Times New Roman"/>
          <w:color w:val="auto"/>
          <w:sz w:val="24"/>
          <w:szCs w:val="24"/>
          <w:lang w:val="fr-FR"/>
        </w:rPr>
      </w:pPr>
    </w:p>
    <w:p w:rsidR="00A96750" w:rsidRPr="00D52D00" w:rsidRDefault="00A96750" w:rsidP="002361EF">
      <w:pPr>
        <w:spacing w:after="0" w:line="240" w:lineRule="auto"/>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Le projet informera et engagera les parties prenantes sur ses performances environnementales et sociales et sur la mise en œuvre du plan d'engagement des parties prenantes et du mécanisme de règlement des plaintes tout au long de son déroulement. Les activités d'information et d'engagement porteront sur des sujets liés à l'exploitation et aux abus sexuels (EAS), au harcèlement sexuel ( HS) ou à d'autres types de violence basée sur le genre (VBG) qui pourraient être affectés par le projet ou la pandémie COVID-19 ; il informera les parties prenantes du contenu du code de conduite des travailleurs, des comportements inacceptables et des sanctions prévues, et comprendra des informations sur la manière de faire part de ses préoccupations et de ses plaintes au projet, sur les procédures de gestion des plaintes et sur les services disponibles pour les victimes de la violence basée sur le sexe, de l'exploitation et l'abus sexuels et le harcèlement sexuel.</w:t>
      </w:r>
    </w:p>
    <w:p w:rsidR="00776432" w:rsidRPr="00D52D00" w:rsidRDefault="00A96750" w:rsidP="002361EF">
      <w:pPr>
        <w:spacing w:after="0" w:line="240" w:lineRule="auto"/>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Le projet de CGES et de PEPP sera diffusé avant les consultations formelles</w:t>
      </w:r>
      <w:r w:rsidR="006E6FCB" w:rsidRPr="00D52D00">
        <w:rPr>
          <w:rFonts w:ascii="Times New Roman" w:hAnsi="Times New Roman" w:cs="Times New Roman"/>
          <w:color w:val="auto"/>
          <w:sz w:val="24"/>
          <w:szCs w:val="24"/>
          <w:lang w:val="fr-FR"/>
        </w:rPr>
        <w:t>.</w:t>
      </w:r>
    </w:p>
    <w:p w:rsidR="00F57637" w:rsidRPr="00D52D00" w:rsidRDefault="00F57637" w:rsidP="002361EF">
      <w:pPr>
        <w:spacing w:after="0" w:line="240" w:lineRule="auto"/>
        <w:contextualSpacing/>
        <w:rPr>
          <w:rFonts w:ascii="Times New Roman" w:hAnsi="Times New Roman" w:cs="Times New Roman"/>
          <w:color w:val="auto"/>
          <w:sz w:val="24"/>
          <w:szCs w:val="24"/>
          <w:lang w:val="fr-FR"/>
        </w:rPr>
      </w:pPr>
    </w:p>
    <w:p w:rsidR="00776432" w:rsidRPr="00D52D00" w:rsidRDefault="00776432" w:rsidP="002361EF">
      <w:pPr>
        <w:pStyle w:val="Titre2"/>
        <w:spacing w:after="0" w:line="240" w:lineRule="auto"/>
        <w:ind w:left="-5"/>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 xml:space="preserve">4. </w:t>
      </w:r>
      <w:r w:rsidR="00AD0F0C" w:rsidRPr="00D52D00">
        <w:rPr>
          <w:rFonts w:ascii="Times New Roman" w:hAnsi="Times New Roman" w:cs="Times New Roman"/>
          <w:color w:val="auto"/>
          <w:sz w:val="24"/>
          <w:szCs w:val="24"/>
          <w:lang w:val="fr-FR"/>
        </w:rPr>
        <w:t xml:space="preserve">Ressources et responsabilités pour la mise en œuvre des activités de participation des parties prenantes </w:t>
      </w:r>
    </w:p>
    <w:p w:rsidR="000E5D07" w:rsidRPr="00D52D00" w:rsidRDefault="000E5D07" w:rsidP="002361EF">
      <w:pPr>
        <w:pStyle w:val="Titre3"/>
        <w:spacing w:after="0" w:line="240" w:lineRule="auto"/>
        <w:ind w:left="701"/>
        <w:contextualSpacing/>
        <w:rPr>
          <w:rFonts w:ascii="Times New Roman" w:hAnsi="Times New Roman" w:cs="Times New Roman"/>
          <w:color w:val="auto"/>
          <w:sz w:val="24"/>
          <w:szCs w:val="24"/>
          <w:lang w:val="fr-FR"/>
        </w:rPr>
      </w:pPr>
    </w:p>
    <w:p w:rsidR="00776432" w:rsidRPr="00D52D00" w:rsidRDefault="00776432" w:rsidP="002361EF">
      <w:pPr>
        <w:pStyle w:val="Titre3"/>
        <w:spacing w:after="0" w:line="240" w:lineRule="auto"/>
        <w:ind w:left="0" w:firstLine="0"/>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4.1. Res</w:t>
      </w:r>
      <w:r w:rsidR="00AD0F0C" w:rsidRPr="00D52D00">
        <w:rPr>
          <w:rFonts w:ascii="Times New Roman" w:hAnsi="Times New Roman" w:cs="Times New Roman"/>
          <w:color w:val="auto"/>
          <w:sz w:val="24"/>
          <w:szCs w:val="24"/>
          <w:lang w:val="fr-FR"/>
        </w:rPr>
        <w:t>s</w:t>
      </w:r>
      <w:r w:rsidRPr="00D52D00">
        <w:rPr>
          <w:rFonts w:ascii="Times New Roman" w:hAnsi="Times New Roman" w:cs="Times New Roman"/>
          <w:color w:val="auto"/>
          <w:sz w:val="24"/>
          <w:szCs w:val="24"/>
          <w:lang w:val="fr-FR"/>
        </w:rPr>
        <w:t>ources</w:t>
      </w:r>
    </w:p>
    <w:p w:rsidR="003A2A1C" w:rsidRPr="00D52D00" w:rsidRDefault="003A2A1C" w:rsidP="002361EF">
      <w:pPr>
        <w:spacing w:after="0" w:line="240" w:lineRule="auto"/>
        <w:ind w:right="43"/>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 xml:space="preserve">Le Ministère de l'Agriculture et du Développement rural sera chargé des activités de participation des parties prenantes. </w:t>
      </w:r>
    </w:p>
    <w:p w:rsidR="00776432" w:rsidRPr="00D52D00" w:rsidRDefault="003A2A1C" w:rsidP="002361EF">
      <w:pPr>
        <w:spacing w:after="0" w:line="240" w:lineRule="auto"/>
        <w:ind w:right="43"/>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Le budget pour la mise en œuvre du PEPP proviendra de la Composante 4</w:t>
      </w:r>
      <w:r w:rsidR="00776432" w:rsidRPr="00D52D00">
        <w:rPr>
          <w:rFonts w:ascii="Times New Roman" w:hAnsi="Times New Roman" w:cs="Times New Roman"/>
          <w:color w:val="auto"/>
          <w:sz w:val="24"/>
          <w:szCs w:val="24"/>
          <w:lang w:val="fr-FR"/>
        </w:rPr>
        <w:t>.</w:t>
      </w:r>
    </w:p>
    <w:p w:rsidR="00776432" w:rsidRPr="00D52D00" w:rsidRDefault="00776432" w:rsidP="002361EF">
      <w:pPr>
        <w:spacing w:after="0" w:line="240" w:lineRule="auto"/>
        <w:ind w:right="43"/>
        <w:contextualSpacing/>
        <w:rPr>
          <w:rFonts w:ascii="Times New Roman" w:hAnsi="Times New Roman" w:cs="Times New Roman"/>
          <w:color w:val="auto"/>
          <w:sz w:val="24"/>
          <w:szCs w:val="24"/>
          <w:lang w:val="fr-FR"/>
        </w:rPr>
      </w:pPr>
    </w:p>
    <w:p w:rsidR="00776432" w:rsidRPr="00D52D00" w:rsidRDefault="00776432" w:rsidP="002361EF">
      <w:pPr>
        <w:pStyle w:val="Titre3"/>
        <w:spacing w:after="0" w:line="240" w:lineRule="auto"/>
        <w:ind w:left="0" w:firstLine="0"/>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 xml:space="preserve">4.2. </w:t>
      </w:r>
      <w:r w:rsidR="00B61944" w:rsidRPr="00D52D00">
        <w:rPr>
          <w:rFonts w:ascii="Times New Roman" w:hAnsi="Times New Roman" w:cs="Times New Roman"/>
          <w:color w:val="auto"/>
          <w:sz w:val="24"/>
          <w:szCs w:val="24"/>
          <w:lang w:val="fr-FR"/>
        </w:rPr>
        <w:t xml:space="preserve">Fonctions et responsabilités de gestion </w:t>
      </w:r>
    </w:p>
    <w:p w:rsidR="00DC3879" w:rsidRPr="00D52D00" w:rsidRDefault="008A5E82" w:rsidP="002361EF">
      <w:pPr>
        <w:pStyle w:val="Default"/>
        <w:tabs>
          <w:tab w:val="left" w:pos="547"/>
          <w:tab w:val="left" w:pos="720"/>
        </w:tabs>
        <w:autoSpaceDE/>
        <w:autoSpaceDN/>
        <w:adjustRightInd/>
        <w:jc w:val="both"/>
        <w:rPr>
          <w:bCs/>
          <w:color w:val="auto"/>
          <w:lang w:val="fr-FR"/>
        </w:rPr>
      </w:pPr>
      <w:r w:rsidRPr="00D52D00">
        <w:rPr>
          <w:rFonts w:eastAsiaTheme="minorEastAsia"/>
          <w:color w:val="auto"/>
          <w:lang w:val="fr-FR"/>
        </w:rPr>
        <w:t>La mise en œuvre du projet sera sous la responsabilité du Ministère de l'Agriculture et du Développement rural (MARD), par le biais d'une Unité de coordination technique (UCT) actuellement en cours de création avec le soutien d'autres partenaires au développement. La principale responsabilité de l'UCT sera de passer des contrats avec les partenaires d'appui à la mise en œuvre, de faire le suivi de la mise en œuvre (en travaillant par l'intermédiaire des directions régionales du MARD) et de faire rapport à la Banque. Pour ces fonctions, l'UCT composée d'un coordinateur, d'un spécialiste en agriculture, d'un expert en suivi et évaluation, d'un spécialiste en communication et d'un spécialiste de l'environnement et des garanties sociales. Ces deux derniers seront responsables de la mise en œuvre du PEPP</w:t>
      </w:r>
      <w:r w:rsidR="0016418D" w:rsidRPr="00D52D00">
        <w:rPr>
          <w:color w:val="auto"/>
          <w:lang w:val="fr-FR"/>
        </w:rPr>
        <w:t xml:space="preserve">. </w:t>
      </w:r>
    </w:p>
    <w:p w:rsidR="00095E82" w:rsidRPr="00D52D00" w:rsidRDefault="00095E82" w:rsidP="002361EF">
      <w:pPr>
        <w:spacing w:after="0" w:line="240" w:lineRule="auto"/>
        <w:ind w:right="43"/>
        <w:contextualSpacing/>
        <w:rPr>
          <w:rFonts w:ascii="Times New Roman" w:hAnsi="Times New Roman" w:cs="Times New Roman"/>
          <w:color w:val="auto"/>
          <w:sz w:val="24"/>
          <w:szCs w:val="24"/>
          <w:lang w:val="fr-FR"/>
        </w:rPr>
      </w:pPr>
    </w:p>
    <w:p w:rsidR="009711DD" w:rsidRPr="00D52D00" w:rsidRDefault="009711DD" w:rsidP="002361EF">
      <w:pPr>
        <w:spacing w:after="0" w:line="240" w:lineRule="auto"/>
        <w:ind w:right="43"/>
        <w:contextualSpacing/>
        <w:rPr>
          <w:rFonts w:ascii="Times New Roman" w:hAnsi="Times New Roman" w:cs="Times New Roman"/>
          <w:color w:val="auto"/>
          <w:sz w:val="24"/>
          <w:szCs w:val="24"/>
          <w:lang w:val="fr-FR"/>
        </w:rPr>
      </w:pPr>
      <w:r w:rsidRPr="00D52D00">
        <w:rPr>
          <w:rFonts w:ascii="Times New Roman" w:hAnsi="Times New Roman" w:cs="Times New Roman"/>
          <w:b/>
          <w:color w:val="auto"/>
          <w:sz w:val="24"/>
          <w:szCs w:val="24"/>
          <w:lang w:val="fr-FR"/>
        </w:rPr>
        <w:t xml:space="preserve">5. </w:t>
      </w:r>
      <w:r w:rsidR="008A5E82" w:rsidRPr="00D52D00">
        <w:rPr>
          <w:rFonts w:ascii="Times New Roman" w:hAnsi="Times New Roman" w:cs="Times New Roman"/>
          <w:b/>
          <w:color w:val="auto"/>
          <w:sz w:val="24"/>
          <w:szCs w:val="24"/>
          <w:lang w:val="fr-FR"/>
        </w:rPr>
        <w:t>Mécanisme de règlement des plaintes</w:t>
      </w:r>
    </w:p>
    <w:p w:rsidR="009711DD" w:rsidRPr="00D52D00" w:rsidRDefault="009711DD"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b/>
          <w:color w:val="auto"/>
          <w:sz w:val="24"/>
          <w:szCs w:val="24"/>
          <w:lang w:val="fr-FR"/>
        </w:rPr>
      </w:pPr>
    </w:p>
    <w:p w:rsidR="009711DD" w:rsidRPr="00D52D00" w:rsidRDefault="003137F9"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 xml:space="preserve">L'objectif principal d'un mécanisme de règlement des plaintes (MRP) est d'aider à résoudre les plaintes et les griefs en temps utile, de manière efficace et efficiente, à la satisfaction de toutes les parties concernées. Plus précisément, elle prévoit un processus transparent et crédible pour des résultats équitables, efficaces et durables. Elle permet également d'établir la confiance et la coopération en tant que composante à part entière d'une consultation communautaire plus large qui facilite les mesures correctives. Le MRP qui est sensible aux plaintes en matière d'ESE/SH est </w:t>
      </w:r>
      <w:r w:rsidRPr="00D52D00">
        <w:rPr>
          <w:rFonts w:ascii="Times New Roman" w:hAnsi="Times New Roman" w:cs="Times New Roman"/>
          <w:color w:val="auto"/>
          <w:sz w:val="24"/>
          <w:szCs w:val="24"/>
          <w:lang w:val="fr-FR"/>
        </w:rPr>
        <w:lastRenderedPageBreak/>
        <w:t>également une mesure d'atténuation de l'EAS/HS car il sensibilise à la question, offre aux survivants un moyen sûr de signaler les abus et d'accéder aux services. Plus précisément, le MRP</w:t>
      </w:r>
      <w:r w:rsidR="009711DD" w:rsidRPr="00D52D00">
        <w:rPr>
          <w:rFonts w:ascii="Times New Roman" w:hAnsi="Times New Roman" w:cs="Times New Roman"/>
          <w:color w:val="auto"/>
          <w:sz w:val="24"/>
          <w:szCs w:val="24"/>
          <w:lang w:val="fr-FR"/>
        </w:rPr>
        <w:t>:</w:t>
      </w:r>
    </w:p>
    <w:p w:rsidR="009711DD" w:rsidRPr="00D52D00" w:rsidRDefault="00D77883" w:rsidP="002361EF">
      <w:pPr>
        <w:pStyle w:val="Paragraphedelist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Offre aux personnes concernées la possibilité de déposer une plainte ou de résoudre tout différend qui pourrait survenir au cours de la mise en œuvre des projets</w:t>
      </w:r>
      <w:r w:rsidR="009711DD" w:rsidRPr="00D52D00">
        <w:rPr>
          <w:rFonts w:ascii="Times New Roman" w:hAnsi="Times New Roman" w:cs="Times New Roman"/>
          <w:color w:val="auto"/>
          <w:sz w:val="24"/>
          <w:szCs w:val="24"/>
          <w:lang w:val="fr-FR"/>
        </w:rPr>
        <w:t>;</w:t>
      </w:r>
    </w:p>
    <w:p w:rsidR="000330AE" w:rsidRPr="00D52D00" w:rsidRDefault="00356BED" w:rsidP="002361EF">
      <w:pPr>
        <w:pStyle w:val="Paragraphedelist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Veille à ce que des mesures de réparation appropriées et mutuellement acceptables soient identifiées et mises en œuvre à la satisfaction des plaignants ;</w:t>
      </w:r>
    </w:p>
    <w:p w:rsidR="009711DD" w:rsidRPr="00D52D00" w:rsidRDefault="00356BED" w:rsidP="002361EF">
      <w:pPr>
        <w:pStyle w:val="Paragraphedelist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Orientation vers des services pour les survivants de l'EAS/HS</w:t>
      </w:r>
      <w:r w:rsidR="000330AE" w:rsidRPr="00D52D00">
        <w:rPr>
          <w:rFonts w:ascii="Times New Roman" w:hAnsi="Times New Roman" w:cs="Times New Roman"/>
          <w:color w:val="auto"/>
          <w:sz w:val="24"/>
          <w:szCs w:val="24"/>
          <w:lang w:val="fr-FR"/>
        </w:rPr>
        <w:t xml:space="preserve">; </w:t>
      </w:r>
      <w:r w:rsidRPr="00D52D00">
        <w:rPr>
          <w:rFonts w:ascii="Times New Roman" w:hAnsi="Times New Roman" w:cs="Times New Roman"/>
          <w:color w:val="auto"/>
          <w:sz w:val="24"/>
          <w:szCs w:val="24"/>
          <w:lang w:val="fr-FR"/>
        </w:rPr>
        <w:t>et</w:t>
      </w:r>
    </w:p>
    <w:p w:rsidR="009711DD" w:rsidRPr="00D52D00" w:rsidRDefault="00D2013C" w:rsidP="002361EF">
      <w:pPr>
        <w:pStyle w:val="Paragraphedelist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Évite de devoir recourir à des procédures judiciaires.</w:t>
      </w:r>
    </w:p>
    <w:p w:rsidR="009711DD" w:rsidRPr="00D52D00" w:rsidRDefault="009711DD"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b/>
          <w:color w:val="auto"/>
          <w:sz w:val="24"/>
          <w:szCs w:val="24"/>
          <w:lang w:val="fr-FR"/>
        </w:rPr>
      </w:pPr>
    </w:p>
    <w:p w:rsidR="000E5D07" w:rsidRPr="00D52D00" w:rsidRDefault="009711DD"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color w:val="auto"/>
          <w:sz w:val="24"/>
          <w:szCs w:val="24"/>
          <w:lang w:val="fr-FR"/>
        </w:rPr>
      </w:pPr>
      <w:r w:rsidRPr="00D52D00">
        <w:rPr>
          <w:rFonts w:ascii="Times New Roman" w:hAnsi="Times New Roman" w:cs="Times New Roman"/>
          <w:b/>
          <w:color w:val="auto"/>
          <w:sz w:val="24"/>
          <w:szCs w:val="24"/>
          <w:lang w:val="fr-FR"/>
        </w:rPr>
        <w:t xml:space="preserve">5.1. </w:t>
      </w:r>
      <w:r w:rsidR="002242C1" w:rsidRPr="00D52D00">
        <w:rPr>
          <w:rFonts w:ascii="Times New Roman" w:hAnsi="Times New Roman" w:cs="Times New Roman"/>
          <w:b/>
          <w:color w:val="auto"/>
          <w:sz w:val="24"/>
          <w:szCs w:val="24"/>
          <w:lang w:val="fr-FR"/>
        </w:rPr>
        <w:t>Description du MRP</w:t>
      </w:r>
    </w:p>
    <w:p w:rsidR="007235C1" w:rsidRPr="00D52D00" w:rsidRDefault="00770145"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Le MRP comprendra les étapes suivantes</w:t>
      </w:r>
      <w:r w:rsidR="000528D2" w:rsidRPr="00D52D00">
        <w:rPr>
          <w:rFonts w:ascii="Times New Roman" w:hAnsi="Times New Roman" w:cs="Times New Roman"/>
          <w:color w:val="auto"/>
          <w:sz w:val="24"/>
          <w:szCs w:val="24"/>
          <w:lang w:val="fr-FR"/>
        </w:rPr>
        <w:t xml:space="preserve">: </w:t>
      </w:r>
    </w:p>
    <w:p w:rsidR="007235C1" w:rsidRPr="00D52D00" w:rsidRDefault="007235C1"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b/>
          <w:color w:val="auto"/>
          <w:sz w:val="24"/>
          <w:szCs w:val="24"/>
          <w:lang w:val="fr-FR"/>
        </w:rPr>
      </w:pPr>
      <w:r w:rsidRPr="00D52D00">
        <w:rPr>
          <w:rFonts w:ascii="Times New Roman" w:hAnsi="Times New Roman" w:cs="Times New Roman"/>
          <w:b/>
          <w:color w:val="auto"/>
          <w:sz w:val="24"/>
          <w:szCs w:val="24"/>
          <w:lang w:val="fr-FR"/>
        </w:rPr>
        <w:t>Étape 1 : Soumission des plaintes</w:t>
      </w:r>
    </w:p>
    <w:p w:rsidR="007235C1" w:rsidRPr="00D52D00" w:rsidRDefault="007235C1"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b/>
          <w:color w:val="auto"/>
          <w:sz w:val="24"/>
          <w:szCs w:val="24"/>
          <w:lang w:val="fr-FR"/>
        </w:rPr>
      </w:pPr>
      <w:r w:rsidRPr="00D52D00">
        <w:rPr>
          <w:rFonts w:ascii="Times New Roman" w:hAnsi="Times New Roman" w:cs="Times New Roman"/>
          <w:b/>
          <w:color w:val="auto"/>
          <w:sz w:val="24"/>
          <w:szCs w:val="24"/>
          <w:lang w:val="fr-FR"/>
        </w:rPr>
        <w:t>Étape 2 : Enregistrement de la plainte et fourniture de la réponse initiale</w:t>
      </w:r>
    </w:p>
    <w:p w:rsidR="007235C1" w:rsidRPr="00D52D00" w:rsidRDefault="007235C1"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b/>
          <w:color w:val="auto"/>
          <w:sz w:val="24"/>
          <w:szCs w:val="24"/>
          <w:lang w:val="fr-FR"/>
        </w:rPr>
      </w:pPr>
      <w:r w:rsidRPr="00D52D00">
        <w:rPr>
          <w:rFonts w:ascii="Times New Roman" w:hAnsi="Times New Roman" w:cs="Times New Roman"/>
          <w:b/>
          <w:color w:val="auto"/>
          <w:sz w:val="24"/>
          <w:szCs w:val="24"/>
          <w:lang w:val="fr-FR"/>
        </w:rPr>
        <w:t xml:space="preserve">Étape 3 : Enquête sur la plainte </w:t>
      </w:r>
    </w:p>
    <w:p w:rsidR="007235C1" w:rsidRPr="00D52D00" w:rsidRDefault="007235C1"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b/>
          <w:color w:val="auto"/>
          <w:sz w:val="24"/>
          <w:szCs w:val="24"/>
          <w:lang w:val="fr-FR"/>
        </w:rPr>
      </w:pPr>
      <w:r w:rsidRPr="00D52D00">
        <w:rPr>
          <w:rFonts w:ascii="Times New Roman" w:hAnsi="Times New Roman" w:cs="Times New Roman"/>
          <w:b/>
          <w:color w:val="auto"/>
          <w:sz w:val="24"/>
          <w:szCs w:val="24"/>
          <w:lang w:val="fr-FR"/>
        </w:rPr>
        <w:t>Étape 4 : Communication de la Réponse</w:t>
      </w:r>
    </w:p>
    <w:p w:rsidR="007235C1" w:rsidRPr="00D52D00" w:rsidRDefault="007235C1"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b/>
          <w:color w:val="auto"/>
          <w:sz w:val="24"/>
          <w:szCs w:val="24"/>
          <w:lang w:val="fr-FR"/>
        </w:rPr>
      </w:pPr>
      <w:r w:rsidRPr="00D52D00">
        <w:rPr>
          <w:rFonts w:ascii="Times New Roman" w:hAnsi="Times New Roman" w:cs="Times New Roman"/>
          <w:b/>
          <w:color w:val="auto"/>
          <w:sz w:val="24"/>
          <w:szCs w:val="24"/>
          <w:lang w:val="fr-FR"/>
        </w:rPr>
        <w:t>Étape 5 : Réponse du Plaignant</w:t>
      </w:r>
    </w:p>
    <w:p w:rsidR="007235C1" w:rsidRPr="00D52D00" w:rsidRDefault="007235C1"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b/>
          <w:color w:val="auto"/>
          <w:sz w:val="24"/>
          <w:szCs w:val="24"/>
          <w:lang w:val="fr-FR"/>
        </w:rPr>
      </w:pPr>
      <w:r w:rsidRPr="00D52D00">
        <w:rPr>
          <w:rFonts w:ascii="Times New Roman" w:hAnsi="Times New Roman" w:cs="Times New Roman"/>
          <w:b/>
          <w:color w:val="auto"/>
          <w:sz w:val="24"/>
          <w:szCs w:val="24"/>
          <w:lang w:val="fr-FR"/>
        </w:rPr>
        <w:t xml:space="preserve">Étape 6 : Clôture de la plainte ou prise de mesures supplémentaires si la plainte reste </w:t>
      </w:r>
      <w:r w:rsidR="004E6C3B" w:rsidRPr="00D52D00">
        <w:rPr>
          <w:rFonts w:ascii="Times New Roman" w:hAnsi="Times New Roman" w:cs="Times New Roman"/>
          <w:b/>
          <w:color w:val="auto"/>
          <w:sz w:val="24"/>
          <w:szCs w:val="24"/>
          <w:lang w:val="fr-FR"/>
        </w:rPr>
        <w:t>ouverte</w:t>
      </w:r>
    </w:p>
    <w:p w:rsidR="007235C1" w:rsidRPr="00D52D00" w:rsidRDefault="007235C1"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b/>
          <w:color w:val="auto"/>
          <w:sz w:val="24"/>
          <w:szCs w:val="24"/>
          <w:lang w:val="fr-FR"/>
        </w:rPr>
      </w:pPr>
      <w:r w:rsidRPr="00D52D00">
        <w:rPr>
          <w:rFonts w:ascii="Times New Roman" w:hAnsi="Times New Roman" w:cs="Times New Roman"/>
          <w:b/>
          <w:color w:val="auto"/>
          <w:sz w:val="24"/>
          <w:szCs w:val="24"/>
          <w:lang w:val="fr-FR"/>
        </w:rPr>
        <w:t>Étape 7 : Procédure de recours</w:t>
      </w:r>
    </w:p>
    <w:p w:rsidR="000528D2" w:rsidRPr="00D52D00" w:rsidRDefault="000528D2"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eastAsia="Times New Roman" w:hAnsi="Times New Roman" w:cs="Times New Roman"/>
          <w:color w:val="auto"/>
          <w:sz w:val="24"/>
          <w:szCs w:val="24"/>
          <w:lang w:val="fr-FR"/>
        </w:rPr>
      </w:pPr>
    </w:p>
    <w:p w:rsidR="000528D2" w:rsidRPr="00D52D00" w:rsidRDefault="007235C1"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z w:val="24"/>
          <w:szCs w:val="24"/>
          <w:lang w:val="fr-FR"/>
        </w:rPr>
        <w:t>Une fois que tous les recours possibles ont été proposés et si le plaignant n'est toujours pas satisfait, il doit être informé de son droit à un recours juridique</w:t>
      </w:r>
      <w:r w:rsidR="000528D2" w:rsidRPr="00D52D00">
        <w:rPr>
          <w:rFonts w:ascii="Times New Roman" w:eastAsia="Times New Roman" w:hAnsi="Times New Roman" w:cs="Times New Roman"/>
          <w:color w:val="auto"/>
          <w:sz w:val="24"/>
          <w:szCs w:val="24"/>
          <w:lang w:val="fr-FR"/>
        </w:rPr>
        <w:t>.</w:t>
      </w:r>
      <w:r w:rsidR="000528D2" w:rsidRPr="00D52D00">
        <w:rPr>
          <w:rFonts w:ascii="Times New Roman" w:eastAsia="Times New Roman" w:hAnsi="Times New Roman" w:cs="Times New Roman"/>
          <w:color w:val="auto"/>
          <w:sz w:val="24"/>
          <w:szCs w:val="24"/>
          <w:lang w:val="fr-FR"/>
        </w:rPr>
        <w:tab/>
      </w:r>
    </w:p>
    <w:p w:rsidR="000528D2" w:rsidRPr="00D52D00" w:rsidRDefault="000528D2"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eastAsia="Times New Roman" w:hAnsi="Times New Roman" w:cs="Times New Roman"/>
          <w:color w:val="auto"/>
          <w:sz w:val="24"/>
          <w:szCs w:val="24"/>
          <w:lang w:val="fr-FR"/>
        </w:rPr>
      </w:pPr>
    </w:p>
    <w:p w:rsidR="000528D2" w:rsidRPr="00D52D00" w:rsidRDefault="000528D2"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auto"/>
          <w:sz w:val="24"/>
          <w:szCs w:val="24"/>
          <w:lang w:val="fr-FR"/>
        </w:rPr>
      </w:pPr>
    </w:p>
    <w:p w:rsidR="007235C1" w:rsidRPr="00D52D00" w:rsidRDefault="007235C1" w:rsidP="002361EF">
      <w:pPr>
        <w:pStyle w:val="Titre3"/>
        <w:spacing w:after="0"/>
        <w:ind w:left="0" w:firstLine="0"/>
        <w:rPr>
          <w:rFonts w:ascii="Times New Roman" w:hAnsi="Times New Roman" w:cs="Times New Roman"/>
          <w:color w:val="auto"/>
          <w:sz w:val="24"/>
          <w:szCs w:val="24"/>
          <w:lang w:val="fr-FR"/>
        </w:rPr>
      </w:pPr>
      <w:bookmarkStart w:id="1" w:name="_Toc25764672"/>
      <w:r w:rsidRPr="00D52D00">
        <w:rPr>
          <w:rFonts w:ascii="Times New Roman" w:hAnsi="Times New Roman" w:cs="Times New Roman"/>
          <w:color w:val="auto"/>
          <w:sz w:val="24"/>
          <w:szCs w:val="24"/>
          <w:lang w:val="fr-FR"/>
        </w:rPr>
        <w:t>5.2.  Délai recommandé pour le règlement des plaintes</w:t>
      </w:r>
    </w:p>
    <w:bookmarkEnd w:id="1"/>
    <w:p w:rsidR="000528D2" w:rsidRPr="00D52D00" w:rsidRDefault="007235C1" w:rsidP="002361EF">
      <w:pPr>
        <w:pStyle w:val="Titre3"/>
        <w:spacing w:after="0"/>
        <w:ind w:left="0" w:firstLine="0"/>
        <w:rPr>
          <w:rFonts w:ascii="Times New Roman" w:hAnsi="Times New Roman" w:cs="Times New Roman"/>
          <w:color w:val="auto"/>
          <w:sz w:val="24"/>
          <w:szCs w:val="24"/>
          <w:lang w:val="fr-FR"/>
        </w:rPr>
      </w:pPr>
      <w:r w:rsidRPr="00D52D00">
        <w:rPr>
          <w:rFonts w:ascii="Times New Roman" w:eastAsiaTheme="minorHAnsi" w:hAnsi="Times New Roman" w:cs="Times New Roman"/>
          <w:color w:val="auto"/>
          <w:sz w:val="24"/>
          <w:szCs w:val="24"/>
          <w:lang w:val="fr-FR"/>
        </w:rPr>
        <w:t>Calendrier proposé pour le MRP</w:t>
      </w:r>
    </w:p>
    <w:tbl>
      <w:tblPr>
        <w:tblW w:w="0" w:type="auto"/>
        <w:tblInd w:w="15" w:type="dxa"/>
        <w:tblLayout w:type="fixed"/>
        <w:tblCellMar>
          <w:left w:w="0" w:type="dxa"/>
          <w:right w:w="0" w:type="dxa"/>
        </w:tblCellMar>
        <w:tblLook w:val="0000" w:firstRow="0" w:lastRow="0" w:firstColumn="0" w:lastColumn="0" w:noHBand="0" w:noVBand="0"/>
      </w:tblPr>
      <w:tblGrid>
        <w:gridCol w:w="951"/>
        <w:gridCol w:w="5704"/>
        <w:gridCol w:w="3044"/>
      </w:tblGrid>
      <w:tr w:rsidR="000528D2" w:rsidRPr="00D52D00" w:rsidTr="00AC0742">
        <w:trPr>
          <w:trHeight w:hRule="exact" w:val="386"/>
        </w:trPr>
        <w:tc>
          <w:tcPr>
            <w:tcW w:w="951" w:type="dxa"/>
            <w:tcBorders>
              <w:top w:val="single" w:sz="13" w:space="0" w:color="000000"/>
              <w:left w:val="single" w:sz="12" w:space="0" w:color="000000"/>
              <w:bottom w:val="single" w:sz="6" w:space="0" w:color="000000"/>
              <w:right w:val="single" w:sz="6" w:space="0" w:color="000000"/>
            </w:tcBorders>
            <w:shd w:val="clear" w:color="auto" w:fill="D9D9D9"/>
          </w:tcPr>
          <w:p w:rsidR="000528D2" w:rsidRPr="00D52D00" w:rsidRDefault="007235C1" w:rsidP="002361EF">
            <w:pPr>
              <w:widowControl w:val="0"/>
              <w:kinsoku w:val="0"/>
              <w:overflowPunct w:val="0"/>
              <w:autoSpaceDE w:val="0"/>
              <w:autoSpaceDN w:val="0"/>
              <w:adjustRightInd w:val="0"/>
              <w:spacing w:after="0" w:line="240" w:lineRule="auto"/>
              <w:ind w:left="92"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b/>
                <w:bCs/>
                <w:color w:val="auto"/>
                <w:spacing w:val="-1"/>
                <w:sz w:val="24"/>
                <w:szCs w:val="24"/>
                <w:lang w:val="fr-FR"/>
              </w:rPr>
              <w:t>Éta</w:t>
            </w:r>
            <w:r w:rsidR="000528D2" w:rsidRPr="00D52D00">
              <w:rPr>
                <w:rFonts w:ascii="Times New Roman" w:eastAsia="Times New Roman" w:hAnsi="Times New Roman" w:cs="Times New Roman"/>
                <w:b/>
                <w:bCs/>
                <w:color w:val="auto"/>
                <w:spacing w:val="-1"/>
                <w:sz w:val="24"/>
                <w:szCs w:val="24"/>
                <w:lang w:val="fr-FR"/>
              </w:rPr>
              <w:t>p</w:t>
            </w:r>
            <w:r w:rsidRPr="00D52D00">
              <w:rPr>
                <w:rFonts w:ascii="Times New Roman" w:eastAsia="Times New Roman" w:hAnsi="Times New Roman" w:cs="Times New Roman"/>
                <w:b/>
                <w:bCs/>
                <w:color w:val="auto"/>
                <w:spacing w:val="-1"/>
                <w:sz w:val="24"/>
                <w:szCs w:val="24"/>
                <w:lang w:val="fr-FR"/>
              </w:rPr>
              <w:t>e</w:t>
            </w:r>
          </w:p>
        </w:tc>
        <w:tc>
          <w:tcPr>
            <w:tcW w:w="5704" w:type="dxa"/>
            <w:tcBorders>
              <w:top w:val="single" w:sz="13" w:space="0" w:color="000000"/>
              <w:left w:val="single" w:sz="6" w:space="0" w:color="000000"/>
              <w:bottom w:val="single" w:sz="6" w:space="0" w:color="000000"/>
              <w:right w:val="single" w:sz="6" w:space="0" w:color="000000"/>
            </w:tcBorders>
            <w:shd w:val="clear" w:color="auto" w:fill="D9D9D9"/>
          </w:tcPr>
          <w:p w:rsidR="000528D2" w:rsidRPr="00D52D00" w:rsidRDefault="000528D2"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b/>
                <w:bCs/>
                <w:color w:val="auto"/>
                <w:spacing w:val="-1"/>
                <w:sz w:val="24"/>
                <w:szCs w:val="24"/>
                <w:lang w:val="fr-FR"/>
              </w:rPr>
              <w:t>Process</w:t>
            </w:r>
            <w:r w:rsidR="007235C1" w:rsidRPr="00D52D00">
              <w:rPr>
                <w:rFonts w:ascii="Times New Roman" w:eastAsia="Times New Roman" w:hAnsi="Times New Roman" w:cs="Times New Roman"/>
                <w:b/>
                <w:bCs/>
                <w:color w:val="auto"/>
                <w:spacing w:val="-1"/>
                <w:sz w:val="24"/>
                <w:szCs w:val="24"/>
                <w:lang w:val="fr-FR"/>
              </w:rPr>
              <w:t>us</w:t>
            </w:r>
          </w:p>
        </w:tc>
        <w:tc>
          <w:tcPr>
            <w:tcW w:w="3044" w:type="dxa"/>
            <w:tcBorders>
              <w:top w:val="single" w:sz="13" w:space="0" w:color="000000"/>
              <w:left w:val="single" w:sz="6" w:space="0" w:color="000000"/>
              <w:bottom w:val="single" w:sz="6" w:space="0" w:color="000000"/>
              <w:right w:val="single" w:sz="12" w:space="0" w:color="000000"/>
            </w:tcBorders>
            <w:shd w:val="clear" w:color="auto" w:fill="D9D9D9"/>
          </w:tcPr>
          <w:p w:rsidR="000528D2" w:rsidRPr="00D52D00" w:rsidRDefault="000A4EA9"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b/>
                <w:bCs/>
                <w:color w:val="auto"/>
                <w:spacing w:val="-1"/>
                <w:sz w:val="24"/>
                <w:szCs w:val="24"/>
                <w:lang w:val="fr-FR"/>
              </w:rPr>
              <w:t xml:space="preserve">Délai </w:t>
            </w:r>
          </w:p>
        </w:tc>
      </w:tr>
      <w:tr w:rsidR="000A4EA9" w:rsidRPr="00D52D00" w:rsidTr="00AC0742">
        <w:trPr>
          <w:trHeight w:hRule="exact" w:val="260"/>
        </w:trPr>
        <w:tc>
          <w:tcPr>
            <w:tcW w:w="951" w:type="dxa"/>
            <w:tcBorders>
              <w:top w:val="single" w:sz="6" w:space="0" w:color="000000"/>
              <w:left w:val="single" w:sz="12" w:space="0" w:color="000000"/>
              <w:bottom w:val="single" w:sz="6" w:space="0" w:color="000000"/>
              <w:right w:val="single" w:sz="6" w:space="0" w:color="000000"/>
            </w:tcBorders>
          </w:tcPr>
          <w:p w:rsidR="000A4EA9" w:rsidRPr="00D52D00" w:rsidRDefault="000A4EA9" w:rsidP="002361EF">
            <w:pPr>
              <w:widowControl w:val="0"/>
              <w:kinsoku w:val="0"/>
              <w:overflowPunct w:val="0"/>
              <w:autoSpaceDE w:val="0"/>
              <w:autoSpaceDN w:val="0"/>
              <w:adjustRightInd w:val="0"/>
              <w:spacing w:after="0" w:line="240" w:lineRule="auto"/>
              <w:ind w:left="92"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z w:val="24"/>
                <w:szCs w:val="24"/>
                <w:lang w:val="fr-FR"/>
              </w:rPr>
              <w:t>1</w:t>
            </w:r>
          </w:p>
        </w:tc>
        <w:tc>
          <w:tcPr>
            <w:tcW w:w="5704" w:type="dxa"/>
            <w:tcBorders>
              <w:top w:val="single" w:sz="6" w:space="0" w:color="000000"/>
              <w:left w:val="single" w:sz="6" w:space="0" w:color="000000"/>
              <w:bottom w:val="single" w:sz="6" w:space="0" w:color="000000"/>
              <w:right w:val="single" w:sz="6" w:space="0" w:color="000000"/>
            </w:tcBorders>
          </w:tcPr>
          <w:p w:rsidR="000A4EA9" w:rsidRPr="00D52D00" w:rsidRDefault="000A4EA9"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pacing w:val="-1"/>
                <w:sz w:val="24"/>
                <w:szCs w:val="24"/>
                <w:lang w:val="fr-FR"/>
              </w:rPr>
              <w:t>Recevoir et enregistrer une plainte</w:t>
            </w:r>
          </w:p>
        </w:tc>
        <w:tc>
          <w:tcPr>
            <w:tcW w:w="3044" w:type="dxa"/>
            <w:tcBorders>
              <w:top w:val="single" w:sz="6" w:space="0" w:color="000000"/>
              <w:left w:val="single" w:sz="6" w:space="0" w:color="000000"/>
              <w:bottom w:val="single" w:sz="6" w:space="0" w:color="000000"/>
              <w:right w:val="single" w:sz="12" w:space="0" w:color="000000"/>
            </w:tcBorders>
          </w:tcPr>
          <w:p w:rsidR="000A4EA9" w:rsidRPr="00D52D00" w:rsidRDefault="004E6C3B"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D</w:t>
            </w:r>
            <w:r w:rsidR="000A4EA9" w:rsidRPr="00D52D00">
              <w:rPr>
                <w:rFonts w:ascii="Times New Roman" w:hAnsi="Times New Roman" w:cs="Times New Roman"/>
                <w:color w:val="auto"/>
                <w:sz w:val="24"/>
                <w:szCs w:val="24"/>
                <w:lang w:val="fr-FR"/>
              </w:rPr>
              <w:t>ans les 24 heures</w:t>
            </w:r>
          </w:p>
        </w:tc>
      </w:tr>
      <w:tr w:rsidR="000A4EA9" w:rsidRPr="00D52D00" w:rsidTr="00AC0742">
        <w:trPr>
          <w:trHeight w:hRule="exact" w:val="278"/>
        </w:trPr>
        <w:tc>
          <w:tcPr>
            <w:tcW w:w="951" w:type="dxa"/>
            <w:tcBorders>
              <w:top w:val="single" w:sz="6" w:space="0" w:color="000000"/>
              <w:left w:val="single" w:sz="12" w:space="0" w:color="000000"/>
              <w:bottom w:val="single" w:sz="6" w:space="0" w:color="000000"/>
              <w:right w:val="single" w:sz="6" w:space="0" w:color="000000"/>
            </w:tcBorders>
          </w:tcPr>
          <w:p w:rsidR="000A4EA9" w:rsidRPr="00D52D00" w:rsidRDefault="000A4EA9" w:rsidP="002361EF">
            <w:pPr>
              <w:widowControl w:val="0"/>
              <w:kinsoku w:val="0"/>
              <w:overflowPunct w:val="0"/>
              <w:autoSpaceDE w:val="0"/>
              <w:autoSpaceDN w:val="0"/>
              <w:adjustRightInd w:val="0"/>
              <w:spacing w:after="0" w:line="240" w:lineRule="auto"/>
              <w:ind w:left="92"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z w:val="24"/>
                <w:szCs w:val="24"/>
                <w:lang w:val="fr-FR"/>
              </w:rPr>
              <w:t>2</w:t>
            </w:r>
          </w:p>
        </w:tc>
        <w:tc>
          <w:tcPr>
            <w:tcW w:w="5704" w:type="dxa"/>
            <w:tcBorders>
              <w:top w:val="single" w:sz="6" w:space="0" w:color="000000"/>
              <w:left w:val="single" w:sz="6" w:space="0" w:color="000000"/>
              <w:bottom w:val="single" w:sz="6" w:space="0" w:color="000000"/>
              <w:right w:val="single" w:sz="6" w:space="0" w:color="000000"/>
            </w:tcBorders>
          </w:tcPr>
          <w:p w:rsidR="000A4EA9" w:rsidRPr="00D52D00" w:rsidRDefault="000A4EA9"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pacing w:val="-1"/>
                <w:sz w:val="24"/>
                <w:szCs w:val="24"/>
                <w:lang w:val="fr-FR"/>
              </w:rPr>
              <w:t xml:space="preserve">Accuser </w:t>
            </w:r>
            <w:r w:rsidR="004E6C3B" w:rsidRPr="00D52D00">
              <w:rPr>
                <w:rFonts w:ascii="Times New Roman" w:eastAsia="Times New Roman" w:hAnsi="Times New Roman" w:cs="Times New Roman"/>
                <w:color w:val="auto"/>
                <w:spacing w:val="-1"/>
                <w:sz w:val="24"/>
                <w:szCs w:val="24"/>
                <w:lang w:val="fr-FR"/>
              </w:rPr>
              <w:t>ré</w:t>
            </w:r>
            <w:r w:rsidRPr="00D52D00">
              <w:rPr>
                <w:rFonts w:ascii="Times New Roman" w:eastAsia="Times New Roman" w:hAnsi="Times New Roman" w:cs="Times New Roman"/>
                <w:color w:val="auto"/>
                <w:spacing w:val="-1"/>
                <w:sz w:val="24"/>
                <w:szCs w:val="24"/>
                <w:lang w:val="fr-FR"/>
              </w:rPr>
              <w:t>ception de la plainte</w:t>
            </w:r>
          </w:p>
        </w:tc>
        <w:tc>
          <w:tcPr>
            <w:tcW w:w="3044" w:type="dxa"/>
            <w:tcBorders>
              <w:top w:val="single" w:sz="6" w:space="0" w:color="000000"/>
              <w:left w:val="single" w:sz="6" w:space="0" w:color="000000"/>
              <w:bottom w:val="single" w:sz="6" w:space="0" w:color="000000"/>
              <w:right w:val="single" w:sz="12" w:space="0" w:color="000000"/>
            </w:tcBorders>
          </w:tcPr>
          <w:p w:rsidR="000A4EA9" w:rsidRPr="00D52D00" w:rsidRDefault="004E6C3B"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D</w:t>
            </w:r>
            <w:r w:rsidR="000A4EA9" w:rsidRPr="00D52D00">
              <w:rPr>
                <w:rFonts w:ascii="Times New Roman" w:hAnsi="Times New Roman" w:cs="Times New Roman"/>
                <w:color w:val="auto"/>
                <w:sz w:val="24"/>
                <w:szCs w:val="24"/>
                <w:lang w:val="fr-FR"/>
              </w:rPr>
              <w:t>ans les 24 heures</w:t>
            </w:r>
          </w:p>
        </w:tc>
      </w:tr>
      <w:tr w:rsidR="000A4EA9" w:rsidRPr="00D52D00" w:rsidTr="00AC0742">
        <w:trPr>
          <w:trHeight w:hRule="exact" w:val="282"/>
        </w:trPr>
        <w:tc>
          <w:tcPr>
            <w:tcW w:w="951" w:type="dxa"/>
            <w:tcBorders>
              <w:top w:val="single" w:sz="6" w:space="0" w:color="000000"/>
              <w:left w:val="single" w:sz="12" w:space="0" w:color="000000"/>
              <w:bottom w:val="single" w:sz="6" w:space="0" w:color="000000"/>
              <w:right w:val="single" w:sz="6" w:space="0" w:color="000000"/>
            </w:tcBorders>
          </w:tcPr>
          <w:p w:rsidR="000A4EA9" w:rsidRPr="00D52D00" w:rsidRDefault="000A4EA9" w:rsidP="002361EF">
            <w:pPr>
              <w:widowControl w:val="0"/>
              <w:kinsoku w:val="0"/>
              <w:overflowPunct w:val="0"/>
              <w:autoSpaceDE w:val="0"/>
              <w:autoSpaceDN w:val="0"/>
              <w:adjustRightInd w:val="0"/>
              <w:spacing w:after="0" w:line="240" w:lineRule="auto"/>
              <w:ind w:left="92"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z w:val="24"/>
                <w:szCs w:val="24"/>
                <w:lang w:val="fr-FR"/>
              </w:rPr>
              <w:t>3</w:t>
            </w:r>
          </w:p>
        </w:tc>
        <w:tc>
          <w:tcPr>
            <w:tcW w:w="5704" w:type="dxa"/>
            <w:tcBorders>
              <w:top w:val="single" w:sz="6" w:space="0" w:color="000000"/>
              <w:left w:val="single" w:sz="6" w:space="0" w:color="000000"/>
              <w:bottom w:val="single" w:sz="6" w:space="0" w:color="000000"/>
              <w:right w:val="single" w:sz="6" w:space="0" w:color="000000"/>
            </w:tcBorders>
          </w:tcPr>
          <w:p w:rsidR="000A4EA9" w:rsidRPr="00D52D00" w:rsidRDefault="000A4EA9"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pacing w:val="-1"/>
                <w:sz w:val="24"/>
                <w:szCs w:val="24"/>
                <w:lang w:val="fr-FR"/>
              </w:rPr>
              <w:t>Évaluer la plainte</w:t>
            </w:r>
          </w:p>
        </w:tc>
        <w:tc>
          <w:tcPr>
            <w:tcW w:w="3044" w:type="dxa"/>
            <w:tcBorders>
              <w:top w:val="single" w:sz="6" w:space="0" w:color="000000"/>
              <w:left w:val="single" w:sz="6" w:space="0" w:color="000000"/>
              <w:bottom w:val="single" w:sz="6" w:space="0" w:color="000000"/>
              <w:right w:val="single" w:sz="12" w:space="0" w:color="000000"/>
            </w:tcBorders>
          </w:tcPr>
          <w:p w:rsidR="000A4EA9" w:rsidRPr="00D52D00" w:rsidRDefault="004E6C3B"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D</w:t>
            </w:r>
            <w:r w:rsidR="000A4EA9" w:rsidRPr="00D52D00">
              <w:rPr>
                <w:rFonts w:ascii="Times New Roman" w:hAnsi="Times New Roman" w:cs="Times New Roman"/>
                <w:color w:val="auto"/>
                <w:sz w:val="24"/>
                <w:szCs w:val="24"/>
                <w:lang w:val="fr-FR"/>
              </w:rPr>
              <w:t>ans les 24 heures</w:t>
            </w:r>
          </w:p>
        </w:tc>
      </w:tr>
      <w:tr w:rsidR="000528D2" w:rsidRPr="00D52D00" w:rsidTr="00AC0742">
        <w:trPr>
          <w:trHeight w:hRule="exact" w:val="272"/>
        </w:trPr>
        <w:tc>
          <w:tcPr>
            <w:tcW w:w="951" w:type="dxa"/>
            <w:tcBorders>
              <w:top w:val="single" w:sz="6" w:space="0" w:color="000000"/>
              <w:left w:val="single" w:sz="12" w:space="0" w:color="000000"/>
              <w:bottom w:val="single" w:sz="6" w:space="0" w:color="000000"/>
              <w:right w:val="single" w:sz="6" w:space="0" w:color="000000"/>
            </w:tcBorders>
          </w:tcPr>
          <w:p w:rsidR="000528D2" w:rsidRPr="00D52D00" w:rsidRDefault="000528D2" w:rsidP="002361EF">
            <w:pPr>
              <w:widowControl w:val="0"/>
              <w:kinsoku w:val="0"/>
              <w:overflowPunct w:val="0"/>
              <w:autoSpaceDE w:val="0"/>
              <w:autoSpaceDN w:val="0"/>
              <w:adjustRightInd w:val="0"/>
              <w:spacing w:after="0" w:line="240" w:lineRule="auto"/>
              <w:ind w:left="92"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z w:val="24"/>
                <w:szCs w:val="24"/>
                <w:lang w:val="fr-FR"/>
              </w:rPr>
              <w:t>4</w:t>
            </w:r>
          </w:p>
        </w:tc>
        <w:tc>
          <w:tcPr>
            <w:tcW w:w="5704" w:type="dxa"/>
            <w:tcBorders>
              <w:top w:val="single" w:sz="6" w:space="0" w:color="000000"/>
              <w:left w:val="single" w:sz="6" w:space="0" w:color="000000"/>
              <w:bottom w:val="single" w:sz="6" w:space="0" w:color="000000"/>
              <w:right w:val="single" w:sz="6" w:space="0" w:color="000000"/>
            </w:tcBorders>
          </w:tcPr>
          <w:p w:rsidR="000528D2" w:rsidRPr="00D52D00" w:rsidRDefault="000A4EA9"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pacing w:val="-1"/>
                <w:sz w:val="24"/>
                <w:szCs w:val="24"/>
                <w:lang w:val="fr-FR"/>
              </w:rPr>
              <w:t>Attribuer les responsabilités</w:t>
            </w:r>
          </w:p>
        </w:tc>
        <w:tc>
          <w:tcPr>
            <w:tcW w:w="3044" w:type="dxa"/>
            <w:tcBorders>
              <w:top w:val="single" w:sz="6" w:space="0" w:color="000000"/>
              <w:left w:val="single" w:sz="6" w:space="0" w:color="000000"/>
              <w:bottom w:val="single" w:sz="6" w:space="0" w:color="000000"/>
              <w:right w:val="single" w:sz="12" w:space="0" w:color="000000"/>
            </w:tcBorders>
          </w:tcPr>
          <w:p w:rsidR="000528D2" w:rsidRPr="00D52D00" w:rsidRDefault="004E6C3B"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pacing w:val="-1"/>
                <w:sz w:val="24"/>
                <w:szCs w:val="24"/>
                <w:lang w:val="fr-FR"/>
              </w:rPr>
              <w:t>D</w:t>
            </w:r>
            <w:r w:rsidR="000A4EA9" w:rsidRPr="00D52D00">
              <w:rPr>
                <w:rFonts w:ascii="Times New Roman" w:eastAsia="Times New Roman" w:hAnsi="Times New Roman" w:cs="Times New Roman"/>
                <w:color w:val="auto"/>
                <w:spacing w:val="-1"/>
                <w:sz w:val="24"/>
                <w:szCs w:val="24"/>
                <w:lang w:val="fr-FR"/>
              </w:rPr>
              <w:t>ans un délai de 2 jours</w:t>
            </w:r>
          </w:p>
        </w:tc>
      </w:tr>
      <w:tr w:rsidR="000A4EA9" w:rsidRPr="00D52D00" w:rsidTr="00AC0742">
        <w:trPr>
          <w:trHeight w:hRule="exact" w:val="290"/>
        </w:trPr>
        <w:tc>
          <w:tcPr>
            <w:tcW w:w="951" w:type="dxa"/>
            <w:tcBorders>
              <w:top w:val="single" w:sz="6" w:space="0" w:color="000000"/>
              <w:left w:val="single" w:sz="12" w:space="0" w:color="000000"/>
              <w:bottom w:val="single" w:sz="6" w:space="0" w:color="000000"/>
              <w:right w:val="single" w:sz="6" w:space="0" w:color="000000"/>
            </w:tcBorders>
          </w:tcPr>
          <w:p w:rsidR="000A4EA9" w:rsidRPr="00D52D00" w:rsidRDefault="000A4EA9" w:rsidP="002361EF">
            <w:pPr>
              <w:widowControl w:val="0"/>
              <w:kinsoku w:val="0"/>
              <w:overflowPunct w:val="0"/>
              <w:autoSpaceDE w:val="0"/>
              <w:autoSpaceDN w:val="0"/>
              <w:adjustRightInd w:val="0"/>
              <w:spacing w:after="0" w:line="240" w:lineRule="auto"/>
              <w:ind w:left="92"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z w:val="24"/>
                <w:szCs w:val="24"/>
                <w:lang w:val="fr-FR"/>
              </w:rPr>
              <w:t>5</w:t>
            </w:r>
          </w:p>
        </w:tc>
        <w:tc>
          <w:tcPr>
            <w:tcW w:w="5704" w:type="dxa"/>
            <w:tcBorders>
              <w:top w:val="single" w:sz="6" w:space="0" w:color="000000"/>
              <w:left w:val="single" w:sz="6" w:space="0" w:color="000000"/>
              <w:bottom w:val="single" w:sz="6" w:space="0" w:color="000000"/>
              <w:right w:val="single" w:sz="6" w:space="0" w:color="000000"/>
            </w:tcBorders>
          </w:tcPr>
          <w:p w:rsidR="000A4EA9" w:rsidRPr="00D52D00" w:rsidRDefault="000A4EA9"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pacing w:val="-1"/>
                <w:sz w:val="24"/>
                <w:szCs w:val="24"/>
                <w:lang w:val="fr-FR"/>
              </w:rPr>
              <w:t>Élaboration de la réponse</w:t>
            </w:r>
          </w:p>
        </w:tc>
        <w:tc>
          <w:tcPr>
            <w:tcW w:w="3044" w:type="dxa"/>
            <w:tcBorders>
              <w:top w:val="single" w:sz="6" w:space="0" w:color="000000"/>
              <w:left w:val="single" w:sz="6" w:space="0" w:color="000000"/>
              <w:bottom w:val="single" w:sz="6" w:space="0" w:color="000000"/>
              <w:right w:val="single" w:sz="12" w:space="0" w:color="000000"/>
            </w:tcBorders>
          </w:tcPr>
          <w:p w:rsidR="000A4EA9" w:rsidRPr="00D52D00" w:rsidRDefault="004E6C3B"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D</w:t>
            </w:r>
            <w:r w:rsidR="000A4EA9" w:rsidRPr="00D52D00">
              <w:rPr>
                <w:rFonts w:ascii="Times New Roman" w:hAnsi="Times New Roman" w:cs="Times New Roman"/>
                <w:color w:val="auto"/>
                <w:sz w:val="24"/>
                <w:szCs w:val="24"/>
                <w:lang w:val="fr-FR"/>
              </w:rPr>
              <w:t>ans un délai de 7 jours</w:t>
            </w:r>
          </w:p>
        </w:tc>
      </w:tr>
      <w:tr w:rsidR="000A4EA9" w:rsidRPr="00D52D00" w:rsidTr="00AC0742">
        <w:trPr>
          <w:trHeight w:hRule="exact" w:val="280"/>
        </w:trPr>
        <w:tc>
          <w:tcPr>
            <w:tcW w:w="951" w:type="dxa"/>
            <w:tcBorders>
              <w:top w:val="single" w:sz="6" w:space="0" w:color="000000"/>
              <w:left w:val="single" w:sz="12" w:space="0" w:color="000000"/>
              <w:bottom w:val="single" w:sz="6" w:space="0" w:color="000000"/>
              <w:right w:val="single" w:sz="6" w:space="0" w:color="000000"/>
            </w:tcBorders>
          </w:tcPr>
          <w:p w:rsidR="000A4EA9" w:rsidRPr="00D52D00" w:rsidRDefault="000A4EA9" w:rsidP="002361EF">
            <w:pPr>
              <w:widowControl w:val="0"/>
              <w:kinsoku w:val="0"/>
              <w:overflowPunct w:val="0"/>
              <w:autoSpaceDE w:val="0"/>
              <w:autoSpaceDN w:val="0"/>
              <w:adjustRightInd w:val="0"/>
              <w:spacing w:after="0" w:line="240" w:lineRule="auto"/>
              <w:ind w:left="92"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z w:val="24"/>
                <w:szCs w:val="24"/>
                <w:lang w:val="fr-FR"/>
              </w:rPr>
              <w:t>6</w:t>
            </w:r>
          </w:p>
        </w:tc>
        <w:tc>
          <w:tcPr>
            <w:tcW w:w="5704" w:type="dxa"/>
            <w:tcBorders>
              <w:top w:val="single" w:sz="6" w:space="0" w:color="000000"/>
              <w:left w:val="single" w:sz="6" w:space="0" w:color="000000"/>
              <w:bottom w:val="single" w:sz="6" w:space="0" w:color="000000"/>
              <w:right w:val="single" w:sz="6" w:space="0" w:color="000000"/>
            </w:tcBorders>
          </w:tcPr>
          <w:p w:rsidR="000A4EA9" w:rsidRPr="00D52D00" w:rsidRDefault="000A4EA9"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pacing w:val="-1"/>
                <w:sz w:val="24"/>
                <w:szCs w:val="24"/>
                <w:lang w:val="fr-FR"/>
              </w:rPr>
              <w:t>Mise en œuvre de la réponse si un accord est conclu</w:t>
            </w:r>
          </w:p>
        </w:tc>
        <w:tc>
          <w:tcPr>
            <w:tcW w:w="3044" w:type="dxa"/>
            <w:tcBorders>
              <w:top w:val="single" w:sz="6" w:space="0" w:color="000000"/>
              <w:left w:val="single" w:sz="6" w:space="0" w:color="000000"/>
              <w:bottom w:val="single" w:sz="6" w:space="0" w:color="000000"/>
              <w:right w:val="single" w:sz="12" w:space="0" w:color="000000"/>
            </w:tcBorders>
          </w:tcPr>
          <w:p w:rsidR="000A4EA9" w:rsidRPr="00D52D00" w:rsidRDefault="004E6C3B"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D</w:t>
            </w:r>
            <w:r w:rsidR="000A4EA9" w:rsidRPr="00D52D00">
              <w:rPr>
                <w:rFonts w:ascii="Times New Roman" w:hAnsi="Times New Roman" w:cs="Times New Roman"/>
                <w:color w:val="auto"/>
                <w:sz w:val="24"/>
                <w:szCs w:val="24"/>
                <w:lang w:val="fr-FR"/>
              </w:rPr>
              <w:t>ans un délai de 7 jours</w:t>
            </w:r>
          </w:p>
        </w:tc>
      </w:tr>
      <w:tr w:rsidR="000528D2" w:rsidRPr="00D52D00" w:rsidTr="00AC0742">
        <w:trPr>
          <w:trHeight w:hRule="exact" w:val="284"/>
        </w:trPr>
        <w:tc>
          <w:tcPr>
            <w:tcW w:w="951" w:type="dxa"/>
            <w:tcBorders>
              <w:top w:val="single" w:sz="6" w:space="0" w:color="000000"/>
              <w:left w:val="single" w:sz="12" w:space="0" w:color="000000"/>
              <w:bottom w:val="single" w:sz="6" w:space="0" w:color="000000"/>
              <w:right w:val="single" w:sz="6" w:space="0" w:color="000000"/>
            </w:tcBorders>
          </w:tcPr>
          <w:p w:rsidR="000528D2" w:rsidRPr="00D52D00" w:rsidRDefault="000528D2" w:rsidP="002361EF">
            <w:pPr>
              <w:widowControl w:val="0"/>
              <w:kinsoku w:val="0"/>
              <w:overflowPunct w:val="0"/>
              <w:autoSpaceDE w:val="0"/>
              <w:autoSpaceDN w:val="0"/>
              <w:adjustRightInd w:val="0"/>
              <w:spacing w:after="0" w:line="240" w:lineRule="auto"/>
              <w:ind w:left="92"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z w:val="24"/>
                <w:szCs w:val="24"/>
                <w:lang w:val="fr-FR"/>
              </w:rPr>
              <w:t>7</w:t>
            </w:r>
          </w:p>
        </w:tc>
        <w:tc>
          <w:tcPr>
            <w:tcW w:w="5704" w:type="dxa"/>
            <w:tcBorders>
              <w:top w:val="single" w:sz="6" w:space="0" w:color="000000"/>
              <w:left w:val="single" w:sz="6" w:space="0" w:color="000000"/>
              <w:bottom w:val="single" w:sz="6" w:space="0" w:color="000000"/>
              <w:right w:val="single" w:sz="6" w:space="0" w:color="000000"/>
            </w:tcBorders>
          </w:tcPr>
          <w:p w:rsidR="000528D2" w:rsidRPr="00D52D00" w:rsidRDefault="000528D2"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pacing w:val="-1"/>
                <w:sz w:val="24"/>
                <w:szCs w:val="24"/>
                <w:lang w:val="fr-FR"/>
              </w:rPr>
              <w:t>Cl</w:t>
            </w:r>
            <w:r w:rsidR="004D13FE" w:rsidRPr="00D52D00">
              <w:rPr>
                <w:rFonts w:ascii="Times New Roman" w:eastAsia="Times New Roman" w:hAnsi="Times New Roman" w:cs="Times New Roman"/>
                <w:color w:val="auto"/>
                <w:spacing w:val="-1"/>
                <w:sz w:val="24"/>
                <w:szCs w:val="24"/>
                <w:lang w:val="fr-FR"/>
              </w:rPr>
              <w:t xml:space="preserve">ôturer la plainte </w:t>
            </w:r>
          </w:p>
        </w:tc>
        <w:tc>
          <w:tcPr>
            <w:tcW w:w="3044" w:type="dxa"/>
            <w:tcBorders>
              <w:top w:val="single" w:sz="6" w:space="0" w:color="000000"/>
              <w:left w:val="single" w:sz="6" w:space="0" w:color="000000"/>
              <w:bottom w:val="single" w:sz="6" w:space="0" w:color="000000"/>
              <w:right w:val="single" w:sz="12" w:space="0" w:color="000000"/>
            </w:tcBorders>
          </w:tcPr>
          <w:p w:rsidR="000528D2" w:rsidRPr="00D52D00" w:rsidRDefault="004E6C3B"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pacing w:val="-1"/>
                <w:sz w:val="24"/>
                <w:szCs w:val="24"/>
                <w:lang w:val="fr-FR"/>
              </w:rPr>
              <w:t>D</w:t>
            </w:r>
            <w:r w:rsidR="000A4EA9" w:rsidRPr="00D52D00">
              <w:rPr>
                <w:rFonts w:ascii="Times New Roman" w:eastAsia="Times New Roman" w:hAnsi="Times New Roman" w:cs="Times New Roman"/>
                <w:color w:val="auto"/>
                <w:spacing w:val="-1"/>
                <w:sz w:val="24"/>
                <w:szCs w:val="24"/>
                <w:lang w:val="fr-FR"/>
              </w:rPr>
              <w:t>ans un délai de 2 jours</w:t>
            </w:r>
          </w:p>
        </w:tc>
      </w:tr>
      <w:tr w:rsidR="000528D2" w:rsidRPr="00D52D00" w:rsidTr="00AC0742">
        <w:trPr>
          <w:trHeight w:hRule="exact" w:val="571"/>
        </w:trPr>
        <w:tc>
          <w:tcPr>
            <w:tcW w:w="951" w:type="dxa"/>
            <w:tcBorders>
              <w:top w:val="single" w:sz="6" w:space="0" w:color="000000"/>
              <w:left w:val="single" w:sz="12" w:space="0" w:color="000000"/>
              <w:bottom w:val="single" w:sz="6" w:space="0" w:color="000000"/>
              <w:right w:val="single" w:sz="6" w:space="0" w:color="000000"/>
            </w:tcBorders>
          </w:tcPr>
          <w:p w:rsidR="000528D2" w:rsidRPr="00D52D00" w:rsidRDefault="000528D2" w:rsidP="002361EF">
            <w:pPr>
              <w:widowControl w:val="0"/>
              <w:kinsoku w:val="0"/>
              <w:overflowPunct w:val="0"/>
              <w:autoSpaceDE w:val="0"/>
              <w:autoSpaceDN w:val="0"/>
              <w:adjustRightInd w:val="0"/>
              <w:spacing w:after="0" w:line="240" w:lineRule="auto"/>
              <w:ind w:left="92"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z w:val="24"/>
                <w:szCs w:val="24"/>
                <w:lang w:val="fr-FR"/>
              </w:rPr>
              <w:t>8</w:t>
            </w:r>
          </w:p>
        </w:tc>
        <w:tc>
          <w:tcPr>
            <w:tcW w:w="5704" w:type="dxa"/>
            <w:tcBorders>
              <w:top w:val="single" w:sz="6" w:space="0" w:color="000000"/>
              <w:left w:val="single" w:sz="6" w:space="0" w:color="000000"/>
              <w:bottom w:val="single" w:sz="6" w:space="0" w:color="000000"/>
              <w:right w:val="single" w:sz="6" w:space="0" w:color="000000"/>
            </w:tcBorders>
          </w:tcPr>
          <w:p w:rsidR="000528D2" w:rsidRPr="00D52D00" w:rsidRDefault="004D13FE"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pacing w:val="-1"/>
                <w:sz w:val="24"/>
                <w:szCs w:val="24"/>
                <w:lang w:val="fr-FR"/>
              </w:rPr>
              <w:t>Engager une procédure d'examen des plaintes si aucun accord n'est conclu en première instance</w:t>
            </w:r>
          </w:p>
        </w:tc>
        <w:tc>
          <w:tcPr>
            <w:tcW w:w="3044" w:type="dxa"/>
            <w:tcBorders>
              <w:top w:val="single" w:sz="6" w:space="0" w:color="000000"/>
              <w:left w:val="single" w:sz="6" w:space="0" w:color="000000"/>
              <w:bottom w:val="single" w:sz="6" w:space="0" w:color="000000"/>
              <w:right w:val="single" w:sz="12" w:space="0" w:color="000000"/>
            </w:tcBorders>
          </w:tcPr>
          <w:p w:rsidR="000528D2" w:rsidRPr="00D52D00" w:rsidRDefault="004E6C3B"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D</w:t>
            </w:r>
            <w:r w:rsidR="000A4EA9" w:rsidRPr="00D52D00">
              <w:rPr>
                <w:rFonts w:ascii="Times New Roman" w:hAnsi="Times New Roman" w:cs="Times New Roman"/>
                <w:color w:val="auto"/>
                <w:sz w:val="24"/>
                <w:szCs w:val="24"/>
                <w:lang w:val="fr-FR"/>
              </w:rPr>
              <w:t>ans un délai de 7 jours</w:t>
            </w:r>
          </w:p>
        </w:tc>
      </w:tr>
      <w:tr w:rsidR="000528D2" w:rsidRPr="00D52D00" w:rsidTr="00AC0742">
        <w:trPr>
          <w:trHeight w:hRule="exact" w:val="282"/>
        </w:trPr>
        <w:tc>
          <w:tcPr>
            <w:tcW w:w="951" w:type="dxa"/>
            <w:tcBorders>
              <w:top w:val="single" w:sz="6" w:space="0" w:color="000000"/>
              <w:left w:val="single" w:sz="12" w:space="0" w:color="000000"/>
              <w:bottom w:val="single" w:sz="6" w:space="0" w:color="000000"/>
              <w:right w:val="single" w:sz="6" w:space="0" w:color="000000"/>
            </w:tcBorders>
          </w:tcPr>
          <w:p w:rsidR="000528D2" w:rsidRPr="00D52D00" w:rsidRDefault="000528D2" w:rsidP="002361EF">
            <w:pPr>
              <w:widowControl w:val="0"/>
              <w:kinsoku w:val="0"/>
              <w:overflowPunct w:val="0"/>
              <w:autoSpaceDE w:val="0"/>
              <w:autoSpaceDN w:val="0"/>
              <w:adjustRightInd w:val="0"/>
              <w:spacing w:after="0" w:line="240" w:lineRule="auto"/>
              <w:ind w:left="92"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z w:val="24"/>
                <w:szCs w:val="24"/>
                <w:lang w:val="fr-FR"/>
              </w:rPr>
              <w:t>9</w:t>
            </w:r>
          </w:p>
        </w:tc>
        <w:tc>
          <w:tcPr>
            <w:tcW w:w="5704" w:type="dxa"/>
            <w:tcBorders>
              <w:top w:val="single" w:sz="6" w:space="0" w:color="000000"/>
              <w:left w:val="single" w:sz="6" w:space="0" w:color="000000"/>
              <w:bottom w:val="single" w:sz="6" w:space="0" w:color="000000"/>
              <w:right w:val="single" w:sz="6" w:space="0" w:color="000000"/>
            </w:tcBorders>
          </w:tcPr>
          <w:p w:rsidR="000528D2" w:rsidRPr="00D52D00" w:rsidRDefault="00C9478B"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pacing w:val="-1"/>
                <w:sz w:val="24"/>
                <w:szCs w:val="24"/>
                <w:lang w:val="fr-FR"/>
              </w:rPr>
              <w:t>Exécuter la recommandation de révision et clôturer la plainte.</w:t>
            </w:r>
          </w:p>
        </w:tc>
        <w:tc>
          <w:tcPr>
            <w:tcW w:w="3044" w:type="dxa"/>
            <w:tcBorders>
              <w:top w:val="single" w:sz="6" w:space="0" w:color="000000"/>
              <w:left w:val="single" w:sz="6" w:space="0" w:color="000000"/>
              <w:bottom w:val="single" w:sz="6" w:space="0" w:color="000000"/>
              <w:right w:val="single" w:sz="12" w:space="0" w:color="000000"/>
            </w:tcBorders>
          </w:tcPr>
          <w:p w:rsidR="000528D2" w:rsidRPr="00D52D00" w:rsidRDefault="004E6C3B"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D</w:t>
            </w:r>
            <w:r w:rsidR="000A4EA9" w:rsidRPr="00D52D00">
              <w:rPr>
                <w:rFonts w:ascii="Times New Roman" w:hAnsi="Times New Roman" w:cs="Times New Roman"/>
                <w:color w:val="auto"/>
                <w:sz w:val="24"/>
                <w:szCs w:val="24"/>
                <w:lang w:val="fr-FR"/>
              </w:rPr>
              <w:t>ans un délai de 14 jours</w:t>
            </w:r>
          </w:p>
        </w:tc>
      </w:tr>
      <w:tr w:rsidR="000528D2" w:rsidRPr="00D52D00" w:rsidTr="00AC0742">
        <w:trPr>
          <w:trHeight w:hRule="exact" w:val="286"/>
        </w:trPr>
        <w:tc>
          <w:tcPr>
            <w:tcW w:w="951" w:type="dxa"/>
            <w:tcBorders>
              <w:top w:val="single" w:sz="6" w:space="0" w:color="000000"/>
              <w:left w:val="single" w:sz="12" w:space="0" w:color="000000"/>
              <w:bottom w:val="single" w:sz="12" w:space="0" w:color="000000"/>
              <w:right w:val="single" w:sz="6" w:space="0" w:color="000000"/>
            </w:tcBorders>
          </w:tcPr>
          <w:p w:rsidR="000528D2" w:rsidRPr="00D52D00" w:rsidRDefault="000528D2" w:rsidP="002361EF">
            <w:pPr>
              <w:widowControl w:val="0"/>
              <w:kinsoku w:val="0"/>
              <w:overflowPunct w:val="0"/>
              <w:autoSpaceDE w:val="0"/>
              <w:autoSpaceDN w:val="0"/>
              <w:adjustRightInd w:val="0"/>
              <w:spacing w:after="0" w:line="240" w:lineRule="auto"/>
              <w:ind w:left="92"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pacing w:val="-1"/>
                <w:sz w:val="24"/>
                <w:szCs w:val="24"/>
                <w:lang w:val="fr-FR"/>
              </w:rPr>
              <w:t>10</w:t>
            </w:r>
          </w:p>
        </w:tc>
        <w:tc>
          <w:tcPr>
            <w:tcW w:w="5704" w:type="dxa"/>
            <w:tcBorders>
              <w:top w:val="single" w:sz="6" w:space="0" w:color="000000"/>
              <w:left w:val="single" w:sz="6" w:space="0" w:color="000000"/>
              <w:bottom w:val="single" w:sz="12" w:space="0" w:color="000000"/>
              <w:right w:val="single" w:sz="6" w:space="0" w:color="000000"/>
            </w:tcBorders>
          </w:tcPr>
          <w:p w:rsidR="000528D2" w:rsidRPr="00D52D00" w:rsidRDefault="00C9478B"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r w:rsidRPr="00D52D00">
              <w:rPr>
                <w:rFonts w:ascii="Times New Roman" w:eastAsia="Times New Roman" w:hAnsi="Times New Roman" w:cs="Times New Roman"/>
                <w:color w:val="auto"/>
                <w:spacing w:val="-1"/>
                <w:sz w:val="24"/>
                <w:szCs w:val="24"/>
                <w:lang w:val="fr-FR"/>
              </w:rPr>
              <w:t>Plainte portée devant les tribunaux par le plaignant</w:t>
            </w:r>
          </w:p>
        </w:tc>
        <w:tc>
          <w:tcPr>
            <w:tcW w:w="3044" w:type="dxa"/>
            <w:tcBorders>
              <w:top w:val="single" w:sz="6" w:space="0" w:color="000000"/>
              <w:left w:val="single" w:sz="6" w:space="0" w:color="000000"/>
              <w:bottom w:val="single" w:sz="12" w:space="0" w:color="000000"/>
              <w:right w:val="single" w:sz="12" w:space="0" w:color="000000"/>
            </w:tcBorders>
          </w:tcPr>
          <w:p w:rsidR="000528D2" w:rsidRPr="00D52D00" w:rsidRDefault="000528D2" w:rsidP="002361EF">
            <w:pPr>
              <w:widowControl w:val="0"/>
              <w:kinsoku w:val="0"/>
              <w:overflowPunct w:val="0"/>
              <w:autoSpaceDE w:val="0"/>
              <w:autoSpaceDN w:val="0"/>
              <w:adjustRightInd w:val="0"/>
              <w:spacing w:after="0" w:line="240" w:lineRule="auto"/>
              <w:ind w:left="99" w:firstLine="0"/>
              <w:contextualSpacing/>
              <w:jc w:val="left"/>
              <w:rPr>
                <w:rFonts w:ascii="Times New Roman" w:eastAsia="Times New Roman" w:hAnsi="Times New Roman" w:cs="Times New Roman"/>
                <w:color w:val="auto"/>
                <w:sz w:val="24"/>
                <w:szCs w:val="24"/>
                <w:lang w:val="fr-FR"/>
              </w:rPr>
            </w:pPr>
          </w:p>
        </w:tc>
      </w:tr>
    </w:tbl>
    <w:p w:rsidR="0044194A" w:rsidRPr="00D52D00" w:rsidRDefault="0044194A"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b/>
          <w:color w:val="auto"/>
          <w:sz w:val="24"/>
          <w:szCs w:val="24"/>
          <w:lang w:val="fr-FR"/>
        </w:rPr>
      </w:pPr>
    </w:p>
    <w:p w:rsidR="009711DD" w:rsidRPr="00D52D00" w:rsidRDefault="009711DD"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color w:val="auto"/>
          <w:sz w:val="24"/>
          <w:szCs w:val="24"/>
          <w:lang w:val="fr-FR"/>
        </w:rPr>
      </w:pPr>
      <w:r w:rsidRPr="00D52D00">
        <w:rPr>
          <w:rFonts w:ascii="Times New Roman" w:hAnsi="Times New Roman" w:cs="Times New Roman"/>
          <w:b/>
          <w:color w:val="auto"/>
          <w:sz w:val="24"/>
          <w:szCs w:val="24"/>
          <w:lang w:val="fr-FR"/>
        </w:rPr>
        <w:t>5.</w:t>
      </w:r>
      <w:r w:rsidR="000528D2" w:rsidRPr="00D52D00">
        <w:rPr>
          <w:rFonts w:ascii="Times New Roman" w:hAnsi="Times New Roman" w:cs="Times New Roman"/>
          <w:b/>
          <w:color w:val="auto"/>
          <w:sz w:val="24"/>
          <w:szCs w:val="24"/>
          <w:lang w:val="fr-FR"/>
        </w:rPr>
        <w:t>3</w:t>
      </w:r>
      <w:r w:rsidR="00081F25" w:rsidRPr="00D52D00">
        <w:rPr>
          <w:rFonts w:ascii="Times New Roman" w:hAnsi="Times New Roman" w:cs="Times New Roman"/>
          <w:b/>
          <w:color w:val="auto"/>
          <w:sz w:val="24"/>
          <w:szCs w:val="24"/>
          <w:lang w:val="fr-FR"/>
        </w:rPr>
        <w:t xml:space="preserve"> Lieux d'enregistrement des Plaintes - Canaux de Réception</w:t>
      </w:r>
    </w:p>
    <w:p w:rsidR="00D11C4C" w:rsidRPr="00D52D00" w:rsidRDefault="00D11C4C"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Une plainte peut être enregistrée directement par l'un des canaux suivants et, si nécessaire, de manière anonyme ou par l'intermédiaire de tiers.</w:t>
      </w:r>
    </w:p>
    <w:p w:rsidR="00D11C4C" w:rsidRPr="00D52D00" w:rsidRDefault="00D11C4C"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En personne ou par lettre au point focal local du MRP</w:t>
      </w:r>
    </w:p>
    <w:p w:rsidR="00D11C4C" w:rsidRPr="00D52D00" w:rsidRDefault="00D11C4C"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 xml:space="preserve">Par téléphone (numéro gratuit à établir avec le MARD) </w:t>
      </w:r>
    </w:p>
    <w:p w:rsidR="009711DD" w:rsidRPr="00D52D00" w:rsidRDefault="00D11C4C"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Par e-mail à (l'adresse sera bientôt activée</w:t>
      </w:r>
      <w:r w:rsidR="009711DD" w:rsidRPr="00D52D00">
        <w:rPr>
          <w:rFonts w:ascii="Times New Roman" w:hAnsi="Times New Roman" w:cs="Times New Roman"/>
          <w:color w:val="auto"/>
          <w:sz w:val="24"/>
          <w:szCs w:val="24"/>
          <w:lang w:val="fr-FR"/>
        </w:rPr>
        <w:t>)</w:t>
      </w:r>
    </w:p>
    <w:p w:rsidR="004F411E" w:rsidRPr="00D52D00" w:rsidRDefault="004F411E"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color w:val="auto"/>
          <w:sz w:val="24"/>
          <w:szCs w:val="24"/>
          <w:lang w:val="fr-FR"/>
        </w:rPr>
      </w:pPr>
    </w:p>
    <w:p w:rsidR="0024225C" w:rsidRPr="00D52D00" w:rsidRDefault="0024225C"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eastAsia="Times New Roman" w:hAnsi="Times New Roman" w:cs="Times New Roman"/>
          <w:color w:val="auto"/>
          <w:sz w:val="24"/>
          <w:szCs w:val="24"/>
          <w:shd w:val="clear" w:color="auto" w:fill="FFFFFF"/>
          <w:lang w:val="fr-FR"/>
        </w:rPr>
      </w:pPr>
      <w:r w:rsidRPr="00D52D00">
        <w:rPr>
          <w:rFonts w:ascii="Times New Roman" w:eastAsia="Times New Roman" w:hAnsi="Times New Roman" w:cs="Times New Roman"/>
          <w:color w:val="auto"/>
          <w:sz w:val="24"/>
          <w:szCs w:val="24"/>
          <w:shd w:val="clear" w:color="auto" w:fill="FFFFFF"/>
          <w:lang w:val="fr-FR"/>
        </w:rPr>
        <w:t>Le Ministère de l'Agriculture et du Développement rural met en place des mesures supplémentaires pour traiter les plaintes sensibles et confidentielles, y compris celles liées à l'exploitation et aux abus sexuels/harcèlement (EAS/H). Les détails seront fournis dans la mise à jour du PEPP.</w:t>
      </w:r>
    </w:p>
    <w:p w:rsidR="0024225C" w:rsidRPr="00D52D00" w:rsidRDefault="0024225C"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eastAsia="Times New Roman" w:hAnsi="Times New Roman" w:cs="Times New Roman"/>
          <w:color w:val="auto"/>
          <w:sz w:val="24"/>
          <w:szCs w:val="24"/>
          <w:shd w:val="clear" w:color="auto" w:fill="FFFFFF"/>
          <w:lang w:val="fr-FR"/>
        </w:rPr>
      </w:pPr>
    </w:p>
    <w:p w:rsidR="009711DD" w:rsidRPr="00D52D00" w:rsidRDefault="0024225C"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color w:val="auto"/>
          <w:sz w:val="24"/>
          <w:szCs w:val="24"/>
          <w:lang w:val="fr-FR"/>
        </w:rPr>
      </w:pPr>
      <w:r w:rsidRPr="00D52D00">
        <w:rPr>
          <w:rFonts w:ascii="Times New Roman" w:eastAsia="Times New Roman" w:hAnsi="Times New Roman" w:cs="Times New Roman"/>
          <w:color w:val="auto"/>
          <w:sz w:val="24"/>
          <w:szCs w:val="24"/>
          <w:shd w:val="clear" w:color="auto" w:fill="FFFFFF"/>
          <w:lang w:val="fr-FR"/>
        </w:rPr>
        <w:t xml:space="preserve">Une fois qu'une plainte a été reçue, elle doit être enregistrée par les points focaux locaux du MRP ou par le spécialiste E&amp;S de l'UEP dans le registre des plaintes ou dans la base de données des plaintes sur feuille </w:t>
      </w:r>
      <w:r w:rsidR="004E6C3B" w:rsidRPr="00D52D00">
        <w:rPr>
          <w:rFonts w:ascii="Times New Roman" w:eastAsia="Times New Roman" w:hAnsi="Times New Roman" w:cs="Times New Roman"/>
          <w:color w:val="auto"/>
          <w:sz w:val="24"/>
          <w:szCs w:val="24"/>
          <w:shd w:val="clear" w:color="auto" w:fill="FFFFFF"/>
          <w:lang w:val="fr-FR"/>
        </w:rPr>
        <w:t>Excel</w:t>
      </w:r>
      <w:r w:rsidR="009711DD" w:rsidRPr="00D52D00">
        <w:rPr>
          <w:rFonts w:ascii="Times New Roman" w:hAnsi="Times New Roman" w:cs="Times New Roman"/>
          <w:color w:val="auto"/>
          <w:sz w:val="24"/>
          <w:szCs w:val="24"/>
          <w:lang w:val="fr-FR"/>
        </w:rPr>
        <w:t>.</w:t>
      </w:r>
    </w:p>
    <w:p w:rsidR="009711DD" w:rsidRPr="00D52D00" w:rsidRDefault="009711DD"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b/>
          <w:color w:val="auto"/>
          <w:sz w:val="24"/>
          <w:szCs w:val="24"/>
          <w:lang w:val="fr-FR"/>
        </w:rPr>
      </w:pPr>
    </w:p>
    <w:p w:rsidR="009711DD" w:rsidRPr="00D52D00" w:rsidRDefault="009711DD"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color w:val="auto"/>
          <w:sz w:val="24"/>
          <w:szCs w:val="24"/>
          <w:lang w:val="fr-FR"/>
        </w:rPr>
      </w:pPr>
      <w:r w:rsidRPr="00D52D00">
        <w:rPr>
          <w:rFonts w:ascii="Times New Roman" w:hAnsi="Times New Roman" w:cs="Times New Roman"/>
          <w:b/>
          <w:color w:val="auto"/>
          <w:sz w:val="24"/>
          <w:szCs w:val="24"/>
          <w:lang w:val="fr-FR"/>
        </w:rPr>
        <w:t>5.</w:t>
      </w:r>
      <w:r w:rsidR="000528D2" w:rsidRPr="00D52D00">
        <w:rPr>
          <w:rFonts w:ascii="Times New Roman" w:hAnsi="Times New Roman" w:cs="Times New Roman"/>
          <w:b/>
          <w:color w:val="auto"/>
          <w:sz w:val="24"/>
          <w:szCs w:val="24"/>
          <w:lang w:val="fr-FR"/>
        </w:rPr>
        <w:t>4</w:t>
      </w:r>
      <w:r w:rsidR="00D52D00" w:rsidRPr="00D52D00">
        <w:rPr>
          <w:rFonts w:ascii="Times New Roman" w:hAnsi="Times New Roman" w:cs="Times New Roman"/>
          <w:b/>
          <w:color w:val="auto"/>
          <w:sz w:val="24"/>
          <w:szCs w:val="24"/>
          <w:lang w:val="fr-FR"/>
        </w:rPr>
        <w:t xml:space="preserve"> </w:t>
      </w:r>
      <w:r w:rsidR="0024225C" w:rsidRPr="00D52D00">
        <w:rPr>
          <w:rFonts w:ascii="Times New Roman" w:hAnsi="Times New Roman" w:cs="Times New Roman"/>
          <w:b/>
          <w:color w:val="auto"/>
          <w:sz w:val="24"/>
          <w:szCs w:val="24"/>
          <w:lang w:val="fr-FR"/>
        </w:rPr>
        <w:t>Dispositions organisationnelles</w:t>
      </w:r>
    </w:p>
    <w:p w:rsidR="002813AC" w:rsidRPr="00D52D00" w:rsidRDefault="002813AC"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 xml:space="preserve">Les </w:t>
      </w:r>
      <w:r w:rsidR="000E4B61" w:rsidRPr="00D52D00">
        <w:rPr>
          <w:rFonts w:ascii="Times New Roman" w:hAnsi="Times New Roman" w:cs="Times New Roman"/>
          <w:color w:val="auto"/>
          <w:sz w:val="24"/>
          <w:szCs w:val="24"/>
          <w:lang w:val="fr-FR"/>
        </w:rPr>
        <w:t xml:space="preserve">plaintes </w:t>
      </w:r>
      <w:r w:rsidRPr="00D52D00">
        <w:rPr>
          <w:rFonts w:ascii="Times New Roman" w:hAnsi="Times New Roman" w:cs="Times New Roman"/>
          <w:color w:val="auto"/>
          <w:sz w:val="24"/>
          <w:szCs w:val="24"/>
          <w:lang w:val="fr-FR"/>
        </w:rPr>
        <w:t>seront traité</w:t>
      </w:r>
      <w:r w:rsidR="000E4B61" w:rsidRPr="00D52D00">
        <w:rPr>
          <w:rFonts w:ascii="Times New Roman" w:hAnsi="Times New Roman" w:cs="Times New Roman"/>
          <w:color w:val="auto"/>
          <w:sz w:val="24"/>
          <w:szCs w:val="24"/>
          <w:lang w:val="fr-FR"/>
        </w:rPr>
        <w:t>e</w:t>
      </w:r>
      <w:r w:rsidRPr="00D52D00">
        <w:rPr>
          <w:rFonts w:ascii="Times New Roman" w:hAnsi="Times New Roman" w:cs="Times New Roman"/>
          <w:color w:val="auto"/>
          <w:sz w:val="24"/>
          <w:szCs w:val="24"/>
          <w:lang w:val="fr-FR"/>
        </w:rPr>
        <w:t>s au niveau national par le MARD. Le M</w:t>
      </w:r>
      <w:r w:rsidR="006F2121" w:rsidRPr="00D52D00">
        <w:rPr>
          <w:rFonts w:ascii="Times New Roman" w:hAnsi="Times New Roman" w:cs="Times New Roman"/>
          <w:color w:val="auto"/>
          <w:sz w:val="24"/>
          <w:szCs w:val="24"/>
          <w:lang w:val="fr-FR"/>
        </w:rPr>
        <w:t>RP</w:t>
      </w:r>
      <w:r w:rsidR="000E4B61" w:rsidRPr="00D52D00">
        <w:rPr>
          <w:rFonts w:ascii="Times New Roman" w:hAnsi="Times New Roman" w:cs="Times New Roman"/>
          <w:color w:val="auto"/>
          <w:sz w:val="24"/>
          <w:szCs w:val="24"/>
          <w:lang w:val="fr-FR"/>
        </w:rPr>
        <w:t xml:space="preserve">suivra </w:t>
      </w:r>
      <w:r w:rsidRPr="00D52D00">
        <w:rPr>
          <w:rFonts w:ascii="Times New Roman" w:hAnsi="Times New Roman" w:cs="Times New Roman"/>
          <w:color w:val="auto"/>
          <w:sz w:val="24"/>
          <w:szCs w:val="24"/>
          <w:lang w:val="fr-FR"/>
        </w:rPr>
        <w:t>les étapes suivantes :</w:t>
      </w:r>
    </w:p>
    <w:p w:rsidR="002813AC" w:rsidRPr="00D52D00" w:rsidRDefault="002813AC"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color w:val="auto"/>
          <w:sz w:val="24"/>
          <w:szCs w:val="24"/>
          <w:lang w:val="fr-FR"/>
        </w:rPr>
      </w:pPr>
    </w:p>
    <w:p w:rsidR="002813AC" w:rsidRPr="00D52D00" w:rsidRDefault="002813AC"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Étape 1 : Plainte soulevée auprès du point focal de la communauté locale</w:t>
      </w:r>
      <w:r w:rsidR="006F2121" w:rsidRPr="00D52D00">
        <w:rPr>
          <w:rFonts w:ascii="Times New Roman" w:hAnsi="Times New Roman" w:cs="Times New Roman"/>
          <w:color w:val="auto"/>
          <w:sz w:val="24"/>
          <w:szCs w:val="24"/>
          <w:lang w:val="fr-FR"/>
        </w:rPr>
        <w:t>.</w:t>
      </w:r>
    </w:p>
    <w:p w:rsidR="000528D2" w:rsidRPr="00D52D00" w:rsidRDefault="002813AC"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Étape 2 : Plaintes non résolues portées devant le Comité des Griefs du  MARD.</w:t>
      </w:r>
    </w:p>
    <w:p w:rsidR="000E5D07" w:rsidRPr="00D52D00" w:rsidRDefault="000E5D07"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color w:val="auto"/>
          <w:sz w:val="24"/>
          <w:szCs w:val="24"/>
          <w:lang w:val="fr-FR"/>
        </w:rPr>
      </w:pPr>
    </w:p>
    <w:p w:rsidR="000E5D07" w:rsidRPr="00D52D00" w:rsidRDefault="002813AC" w:rsidP="002361EF">
      <w:pPr>
        <w:spacing w:after="0"/>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Une fois que tous les recours possibles ont été proposés et si le plaignant n'est toujours pas satisfait, il doit être informé de son droit à un recours juridique.</w:t>
      </w:r>
    </w:p>
    <w:p w:rsidR="00776432" w:rsidRPr="00D52D00" w:rsidRDefault="001B5052" w:rsidP="0023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Au niveau national, le MRP sera géré par l'UCP du MARD.  Le spécialiste E&amp;S gérera le MRP au jour le jour, y compris les interactions avec les points focaux locaux du MRP, qui feront rapport périodiquement</w:t>
      </w:r>
      <w:r w:rsidR="004E6C3B" w:rsidRPr="00D52D00">
        <w:rPr>
          <w:rFonts w:ascii="Times New Roman" w:hAnsi="Times New Roman" w:cs="Times New Roman"/>
          <w:color w:val="auto"/>
          <w:sz w:val="24"/>
          <w:szCs w:val="24"/>
          <w:lang w:val="fr-FR"/>
        </w:rPr>
        <w:t>.</w:t>
      </w:r>
    </w:p>
    <w:p w:rsidR="00C22E29" w:rsidRPr="00D52D00" w:rsidRDefault="00776432" w:rsidP="002361EF">
      <w:pPr>
        <w:pStyle w:val="Titre2"/>
        <w:spacing w:after="0" w:line="240" w:lineRule="auto"/>
        <w:ind w:left="-5"/>
        <w:contextualSpacing/>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 xml:space="preserve">6. </w:t>
      </w:r>
      <w:r w:rsidR="001B28E4" w:rsidRPr="00D52D00">
        <w:rPr>
          <w:rFonts w:ascii="Times New Roman" w:hAnsi="Times New Roman" w:cs="Times New Roman"/>
          <w:color w:val="auto"/>
          <w:sz w:val="24"/>
          <w:szCs w:val="24"/>
          <w:lang w:val="fr-FR"/>
        </w:rPr>
        <w:t>Suivi et rapports</w:t>
      </w:r>
    </w:p>
    <w:p w:rsidR="000E4B61" w:rsidRPr="00D52D00" w:rsidRDefault="000E4B61" w:rsidP="002361EF">
      <w:pPr>
        <w:spacing w:after="0"/>
        <w:rPr>
          <w:rFonts w:ascii="Times New Roman" w:hAnsi="Times New Roman" w:cs="Times New Roman"/>
          <w:color w:val="auto"/>
          <w:sz w:val="24"/>
          <w:szCs w:val="24"/>
          <w:lang w:val="fr-FR"/>
        </w:rPr>
      </w:pPr>
    </w:p>
    <w:p w:rsidR="00B043E5" w:rsidRPr="00D52D00" w:rsidRDefault="00B87FEB" w:rsidP="002361EF">
      <w:pPr>
        <w:pStyle w:val="Titre3"/>
        <w:spacing w:after="0"/>
        <w:ind w:left="0" w:firstLine="0"/>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rPr>
        <w:t>6.</w:t>
      </w:r>
      <w:r w:rsidR="00B91979" w:rsidRPr="00D52D00">
        <w:rPr>
          <w:rFonts w:ascii="Times New Roman" w:hAnsi="Times New Roman" w:cs="Times New Roman"/>
          <w:color w:val="auto"/>
          <w:sz w:val="24"/>
          <w:szCs w:val="24"/>
          <w:lang w:val="fr-FR"/>
        </w:rPr>
        <w:t>1</w:t>
      </w:r>
      <w:r w:rsidRPr="00D52D00">
        <w:rPr>
          <w:rFonts w:ascii="Times New Roman" w:hAnsi="Times New Roman" w:cs="Times New Roman"/>
          <w:color w:val="auto"/>
          <w:sz w:val="24"/>
          <w:szCs w:val="24"/>
          <w:lang w:val="fr-FR"/>
        </w:rPr>
        <w:t xml:space="preserve">. </w:t>
      </w:r>
      <w:r w:rsidR="00764FB0" w:rsidRPr="00D52D00">
        <w:rPr>
          <w:rFonts w:ascii="Times New Roman" w:hAnsi="Times New Roman" w:cs="Times New Roman"/>
          <w:color w:val="auto"/>
          <w:sz w:val="24"/>
          <w:szCs w:val="24"/>
          <w:lang w:val="fr-FR"/>
        </w:rPr>
        <w:t>Suivi et rapports aux groupes de parties prenantes</w:t>
      </w:r>
    </w:p>
    <w:p w:rsidR="004A0513" w:rsidRPr="00D52D00" w:rsidRDefault="002813D5" w:rsidP="002361EF">
      <w:pPr>
        <w:pStyle w:val="Titre3"/>
        <w:spacing w:after="0"/>
        <w:ind w:left="0" w:firstLine="0"/>
        <w:rPr>
          <w:rFonts w:ascii="Times New Roman" w:hAnsi="Times New Roman" w:cs="Times New Roman"/>
          <w:color w:val="auto"/>
          <w:sz w:val="24"/>
          <w:szCs w:val="24"/>
          <w:lang w:val="fr-FR"/>
        </w:rPr>
      </w:pPr>
      <w:r w:rsidRPr="00D52D00">
        <w:rPr>
          <w:rFonts w:ascii="Times New Roman" w:hAnsi="Times New Roman" w:cs="Times New Roman"/>
          <w:color w:val="auto"/>
          <w:sz w:val="24"/>
          <w:szCs w:val="24"/>
          <w:lang w:val="fr-FR" w:bidi="th-TH"/>
        </w:rPr>
        <w:t>Le PEPP sera périodiquement révisé et mis à jour, si nécessaire, au cours de la mise en œuvre du projet afin de garantir que les informations présentées ici sont cohérentes et les plus récentes, et que les méthodes d'engagement identifiées restent appropriées et efficaces par rapport au contexte du projet et aux phases spécifiques du développement. Toute modification importante des activités liées au projet et de son calendrier sera dûment prise en compte dans le PEPP</w:t>
      </w:r>
      <w:r w:rsidR="00776432" w:rsidRPr="00D52D00">
        <w:rPr>
          <w:rFonts w:ascii="Times New Roman" w:hAnsi="Times New Roman" w:cs="Times New Roman"/>
          <w:color w:val="auto"/>
          <w:sz w:val="24"/>
          <w:szCs w:val="24"/>
          <w:lang w:val="fr-FR" w:bidi="th-TH"/>
        </w:rPr>
        <w:t xml:space="preserve">. </w:t>
      </w:r>
    </w:p>
    <w:p w:rsidR="004A0513" w:rsidRPr="00D52D00" w:rsidRDefault="004A0513" w:rsidP="002361EF">
      <w:pPr>
        <w:spacing w:after="0" w:line="240" w:lineRule="auto"/>
        <w:ind w:left="0" w:firstLine="0"/>
        <w:contextualSpacing/>
        <w:jc w:val="left"/>
        <w:rPr>
          <w:rFonts w:ascii="Times New Roman" w:hAnsi="Times New Roman" w:cs="Times New Roman"/>
          <w:color w:val="auto"/>
          <w:sz w:val="24"/>
          <w:szCs w:val="24"/>
          <w:lang w:val="fr-FR" w:bidi="th-TH"/>
        </w:rPr>
      </w:pPr>
    </w:p>
    <w:p w:rsidR="004A0513" w:rsidRPr="00D52D00" w:rsidRDefault="00C605A2" w:rsidP="002361EF">
      <w:pPr>
        <w:spacing w:after="0" w:line="240" w:lineRule="auto"/>
        <w:ind w:left="0" w:firstLine="0"/>
        <w:contextualSpacing/>
        <w:jc w:val="left"/>
        <w:rPr>
          <w:rFonts w:ascii="Times New Roman" w:hAnsi="Times New Roman" w:cs="Times New Roman"/>
          <w:color w:val="auto"/>
          <w:sz w:val="24"/>
          <w:szCs w:val="24"/>
          <w:lang w:val="fr-FR" w:bidi="th-TH"/>
        </w:rPr>
      </w:pPr>
      <w:r w:rsidRPr="00D52D00">
        <w:rPr>
          <w:rFonts w:ascii="Times New Roman" w:hAnsi="Times New Roman" w:cs="Times New Roman"/>
          <w:color w:val="auto"/>
          <w:sz w:val="24"/>
          <w:szCs w:val="24"/>
          <w:lang w:val="fr-FR" w:bidi="th-TH"/>
        </w:rPr>
        <w:t>Des résumés trimestriels et des rapports internes sur les doléances du public, les enquêtes et les incidents connexes, ainsi que l'état d'avancement de la mise en œuvre des mesures correctives/préventives associées seront rassemblés par le personnel responsable et transmis à la direction du projet. Les résumés trimestriels fourniront un mécanisme permettant d'évaluer à la fois le nombre et la nature des plaintes et des demandes d'information, ainsi que la capacité du projet à y répondre en temps utile et de manière efficace</w:t>
      </w:r>
      <w:r w:rsidR="00776432" w:rsidRPr="00D52D00">
        <w:rPr>
          <w:rFonts w:ascii="Times New Roman" w:hAnsi="Times New Roman" w:cs="Times New Roman"/>
          <w:color w:val="auto"/>
          <w:sz w:val="24"/>
          <w:szCs w:val="24"/>
          <w:lang w:val="fr-FR" w:bidi="th-TH"/>
        </w:rPr>
        <w:t xml:space="preserve">. </w:t>
      </w:r>
    </w:p>
    <w:p w:rsidR="004A0513" w:rsidRPr="00D52D00" w:rsidRDefault="004A0513" w:rsidP="002361EF">
      <w:pPr>
        <w:spacing w:after="0" w:line="240" w:lineRule="auto"/>
        <w:ind w:left="0" w:firstLine="0"/>
        <w:contextualSpacing/>
        <w:jc w:val="left"/>
        <w:rPr>
          <w:rFonts w:ascii="Times New Roman" w:hAnsi="Times New Roman" w:cs="Times New Roman"/>
          <w:color w:val="auto"/>
          <w:sz w:val="24"/>
          <w:szCs w:val="24"/>
          <w:lang w:val="fr-FR" w:bidi="th-TH"/>
        </w:rPr>
      </w:pPr>
    </w:p>
    <w:p w:rsidR="00776432" w:rsidRPr="00D52D00" w:rsidRDefault="00C605A2" w:rsidP="002361EF">
      <w:pPr>
        <w:spacing w:after="0" w:line="240" w:lineRule="auto"/>
        <w:ind w:left="0" w:firstLine="0"/>
        <w:contextualSpacing/>
        <w:jc w:val="left"/>
        <w:rPr>
          <w:rFonts w:ascii="Times New Roman" w:hAnsi="Times New Roman" w:cs="Times New Roman"/>
          <w:color w:val="auto"/>
          <w:sz w:val="24"/>
          <w:szCs w:val="24"/>
          <w:lang w:val="fr-FR" w:bidi="th-TH"/>
        </w:rPr>
      </w:pPr>
      <w:r w:rsidRPr="00D52D00">
        <w:rPr>
          <w:rFonts w:ascii="Times New Roman" w:hAnsi="Times New Roman" w:cs="Times New Roman"/>
          <w:color w:val="auto"/>
          <w:sz w:val="24"/>
          <w:szCs w:val="24"/>
          <w:lang w:val="fr-FR" w:bidi="th-TH"/>
        </w:rPr>
        <w:t>Les informations sur les activités d'engagement du public entreprises par le projet au cours de l'année peuvent être transmises aux parties prenantes de deux manières possibles</w:t>
      </w:r>
      <w:r w:rsidR="00776432" w:rsidRPr="00D52D00">
        <w:rPr>
          <w:rFonts w:ascii="Times New Roman" w:hAnsi="Times New Roman" w:cs="Times New Roman"/>
          <w:color w:val="auto"/>
          <w:sz w:val="24"/>
          <w:szCs w:val="24"/>
          <w:lang w:val="fr-FR" w:bidi="th-TH"/>
        </w:rPr>
        <w:t>:</w:t>
      </w:r>
    </w:p>
    <w:p w:rsidR="00C605A2" w:rsidRPr="00D52D00" w:rsidRDefault="00C605A2" w:rsidP="002361EF">
      <w:pPr>
        <w:pStyle w:val="Paragraphedeliste"/>
        <w:numPr>
          <w:ilvl w:val="0"/>
          <w:numId w:val="25"/>
        </w:numPr>
        <w:spacing w:after="0" w:line="240" w:lineRule="auto"/>
        <w:jc w:val="left"/>
        <w:rPr>
          <w:rFonts w:ascii="Times New Roman" w:hAnsi="Times New Roman" w:cs="Times New Roman"/>
          <w:color w:val="auto"/>
          <w:sz w:val="24"/>
          <w:szCs w:val="24"/>
          <w:lang w:val="fr-FR" w:bidi="th-TH"/>
        </w:rPr>
      </w:pPr>
      <w:r w:rsidRPr="00D52D00">
        <w:rPr>
          <w:rFonts w:ascii="Times New Roman" w:hAnsi="Times New Roman" w:cs="Times New Roman"/>
          <w:color w:val="auto"/>
          <w:sz w:val="24"/>
          <w:szCs w:val="24"/>
          <w:lang w:val="fr-FR" w:bidi="th-TH"/>
        </w:rPr>
        <w:t>Publication d'un rapport annuel autonome sur l'interaction du projet avec les parties prenantes.</w:t>
      </w:r>
    </w:p>
    <w:p w:rsidR="00C605A2" w:rsidRPr="00D52D00" w:rsidRDefault="000A3485" w:rsidP="002361EF">
      <w:pPr>
        <w:pStyle w:val="Paragraphedeliste"/>
        <w:numPr>
          <w:ilvl w:val="0"/>
          <w:numId w:val="25"/>
        </w:numPr>
        <w:spacing w:after="0" w:line="240" w:lineRule="auto"/>
        <w:jc w:val="left"/>
        <w:rPr>
          <w:rFonts w:ascii="Times New Roman" w:hAnsi="Times New Roman" w:cs="Times New Roman"/>
          <w:color w:val="auto"/>
          <w:sz w:val="24"/>
          <w:szCs w:val="24"/>
          <w:lang w:val="fr-FR" w:bidi="th-TH"/>
        </w:rPr>
      </w:pPr>
      <w:r w:rsidRPr="00D52D00">
        <w:rPr>
          <w:rFonts w:ascii="Times New Roman" w:hAnsi="Times New Roman" w:cs="Times New Roman"/>
          <w:color w:val="auto"/>
          <w:sz w:val="24"/>
          <w:szCs w:val="24"/>
          <w:lang w:val="fr-FR" w:bidi="th-TH"/>
        </w:rPr>
        <w:t>Un certain nombre d'indicateurs de performance clés (KPI) tels que le nombre de consultations/réclamations par cycle de rapport et le pourcentage de réclamations résolues (y compris les réclamations EAS/SH) seront également régulièrement suivis par le projet</w:t>
      </w:r>
      <w:r w:rsidR="00B76099" w:rsidRPr="00D52D00">
        <w:rPr>
          <w:rFonts w:ascii="Times New Roman" w:hAnsi="Times New Roman" w:cs="Times New Roman"/>
          <w:color w:val="auto"/>
          <w:sz w:val="24"/>
          <w:szCs w:val="24"/>
          <w:lang w:val="fr-FR" w:bidi="th-TH"/>
        </w:rPr>
        <w:t>.</w:t>
      </w:r>
    </w:p>
    <w:p w:rsidR="002F4F3F" w:rsidRPr="00D52D00" w:rsidRDefault="002F4F3F" w:rsidP="002361EF">
      <w:pPr>
        <w:pStyle w:val="Paragraphedeliste"/>
        <w:spacing w:after="0" w:line="240" w:lineRule="auto"/>
        <w:ind w:firstLine="0"/>
        <w:jc w:val="left"/>
        <w:rPr>
          <w:rFonts w:ascii="Times New Roman" w:hAnsi="Times New Roman" w:cs="Times New Roman"/>
          <w:color w:val="auto"/>
          <w:sz w:val="24"/>
          <w:szCs w:val="24"/>
          <w:lang w:val="fr-FR"/>
        </w:rPr>
      </w:pPr>
    </w:p>
    <w:sectPr w:rsidR="002F4F3F" w:rsidRPr="00D52D00" w:rsidSect="00AC0742">
      <w:headerReference w:type="even" r:id="rId12"/>
      <w:footerReference w:type="even" r:id="rId13"/>
      <w:footerReference w:type="default" r:id="rId14"/>
      <w:headerReference w:type="first" r:id="rId15"/>
      <w:footerReference w:type="first" r:id="rId16"/>
      <w:pgSz w:w="12240" w:h="15840"/>
      <w:pgMar w:top="1440" w:right="1134" w:bottom="1134" w:left="1418" w:header="62"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CD66E4" w16cid:durableId="228102D7"/>
  <w16cid:commentId w16cid:paraId="5A8E0637" w16cid:durableId="228102F5"/>
  <w16cid:commentId w16cid:paraId="31DD0236" w16cid:durableId="22810317"/>
  <w16cid:commentId w16cid:paraId="5191AB0A" w16cid:durableId="22810491"/>
  <w16cid:commentId w16cid:paraId="1721B08E" w16cid:durableId="22810396"/>
  <w16cid:commentId w16cid:paraId="4DB374CA" w16cid:durableId="22810484"/>
  <w16cid:commentId w16cid:paraId="76A72052" w16cid:durableId="22810457"/>
  <w16cid:commentId w16cid:paraId="7B50071D" w16cid:durableId="228103D4"/>
  <w16cid:commentId w16cid:paraId="28D0BA5D" w16cid:durableId="2281118B"/>
  <w16cid:commentId w16cid:paraId="4618C79D" w16cid:durableId="22814056"/>
  <w16cid:commentId w16cid:paraId="2A82317C" w16cid:durableId="22815362"/>
  <w16cid:commentId w16cid:paraId="172C927D" w16cid:durableId="228234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919" w:rsidRDefault="00B14919" w:rsidP="00776432">
      <w:pPr>
        <w:spacing w:after="0" w:line="240" w:lineRule="auto"/>
      </w:pPr>
      <w:r>
        <w:separator/>
      </w:r>
    </w:p>
  </w:endnote>
  <w:endnote w:type="continuationSeparator" w:id="0">
    <w:p w:rsidR="00B14919" w:rsidRDefault="00B14919" w:rsidP="0077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E10" w:rsidRDefault="009A3F60">
    <w:pPr>
      <w:spacing w:after="0" w:line="259" w:lineRule="auto"/>
      <w:ind w:left="0" w:right="57" w:firstLine="0"/>
      <w:jc w:val="center"/>
    </w:pPr>
    <w:r>
      <w:fldChar w:fldCharType="begin"/>
    </w:r>
    <w:r w:rsidR="00F03E10">
      <w:instrText xml:space="preserve"> PAGE   \* MERGEFORMAT </w:instrText>
    </w:r>
    <w:r>
      <w:fldChar w:fldCharType="separate"/>
    </w:r>
    <w:r w:rsidR="00F03E10">
      <w:t>1</w:t>
    </w:r>
    <w:r>
      <w:fldChar w:fldCharType="end"/>
    </w:r>
  </w:p>
  <w:p w:rsidR="00F03E10" w:rsidRDefault="00F03E10">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6013"/>
      <w:docPartObj>
        <w:docPartGallery w:val="Page Numbers (Bottom of Page)"/>
        <w:docPartUnique/>
      </w:docPartObj>
    </w:sdtPr>
    <w:sdtEndPr/>
    <w:sdtContent>
      <w:p w:rsidR="00503DAB" w:rsidRPr="0035569B" w:rsidRDefault="00503DAB" w:rsidP="00503DAB">
        <w:pPr>
          <w:pStyle w:val="Pieddepage"/>
          <w:jc w:val="center"/>
          <w:rPr>
            <w:color w:val="005C2A"/>
            <w:lang w:val="pt-BR"/>
          </w:rPr>
        </w:pPr>
        <w:r w:rsidRPr="0035569B">
          <w:rPr>
            <w:color w:val="005C2A"/>
            <w:lang w:val="pt-BR"/>
          </w:rPr>
          <w:t>____________________________________________________________________________</w:t>
        </w:r>
      </w:p>
      <w:p w:rsidR="00503DAB" w:rsidRPr="00503DAB" w:rsidRDefault="00503DAB" w:rsidP="00503DAB">
        <w:pPr>
          <w:pStyle w:val="Pieddepage"/>
          <w:jc w:val="center"/>
          <w:rPr>
            <w:rFonts w:ascii="Calibri" w:eastAsia="Calibri" w:hAnsi="Calibri" w:cs="Calibri"/>
            <w:color w:val="000000"/>
            <w:lang w:val="pt-BR"/>
          </w:rPr>
        </w:pPr>
        <w:r w:rsidRPr="0035569B">
          <w:rPr>
            <w:color w:val="005C2A"/>
            <w:lang w:val="pt-BR"/>
          </w:rPr>
          <w:t>Avenida dos Combatentes da Liberdade da Pátria - Palácio do Governo C.P. Nº 71 - Bissau</w:t>
        </w:r>
      </w:p>
    </w:sdtContent>
  </w:sdt>
  <w:p w:rsidR="00F03E10" w:rsidRDefault="009A3F60">
    <w:pPr>
      <w:spacing w:after="0" w:line="259" w:lineRule="auto"/>
      <w:ind w:left="0" w:right="57" w:firstLine="0"/>
      <w:jc w:val="center"/>
    </w:pPr>
    <w:r>
      <w:fldChar w:fldCharType="begin"/>
    </w:r>
    <w:r w:rsidR="00F03E10">
      <w:instrText xml:space="preserve"> PAGE   \* MERGEFORMAT </w:instrText>
    </w:r>
    <w:r>
      <w:fldChar w:fldCharType="separate"/>
    </w:r>
    <w:r w:rsidR="005264D8">
      <w:rPr>
        <w:noProof/>
      </w:rPr>
      <w:t>6</w:t>
    </w:r>
    <w:r>
      <w:fldChar w:fldCharType="end"/>
    </w:r>
  </w:p>
  <w:p w:rsidR="00F03E10" w:rsidRDefault="00F03E10">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594"/>
      <w:docPartObj>
        <w:docPartGallery w:val="Page Numbers (Bottom of Page)"/>
        <w:docPartUnique/>
      </w:docPartObj>
    </w:sdtPr>
    <w:sdtEndPr/>
    <w:sdtContent>
      <w:p w:rsidR="009C75FA" w:rsidRPr="0035569B" w:rsidRDefault="009C75FA" w:rsidP="009C75FA">
        <w:pPr>
          <w:pStyle w:val="Pieddepage"/>
          <w:jc w:val="center"/>
          <w:rPr>
            <w:color w:val="005C2A"/>
            <w:lang w:val="pt-BR"/>
          </w:rPr>
        </w:pPr>
        <w:r w:rsidRPr="0035569B">
          <w:rPr>
            <w:color w:val="005C2A"/>
            <w:lang w:val="pt-BR"/>
          </w:rPr>
          <w:t>____________________________________________________________________________</w:t>
        </w:r>
      </w:p>
      <w:p w:rsidR="009C75FA" w:rsidRPr="009C75FA" w:rsidRDefault="009C75FA" w:rsidP="009C75FA">
        <w:pPr>
          <w:pStyle w:val="Pieddepage"/>
          <w:jc w:val="center"/>
          <w:rPr>
            <w:color w:val="005C2A"/>
            <w:lang w:val="pt-BR"/>
          </w:rPr>
        </w:pPr>
        <w:r w:rsidRPr="0035569B">
          <w:rPr>
            <w:color w:val="005C2A"/>
            <w:lang w:val="pt-BR"/>
          </w:rPr>
          <w:t>Avenida dos Combatentes da Liberdade da Pátria - Palácio do Governo C.P. Nº 71 - Bissau</w:t>
        </w:r>
      </w:p>
    </w:sdtContent>
  </w:sdt>
  <w:p w:rsidR="00F03E10" w:rsidRDefault="009A3F60">
    <w:pPr>
      <w:spacing w:after="0" w:line="259" w:lineRule="auto"/>
      <w:ind w:left="0" w:right="57" w:firstLine="0"/>
      <w:jc w:val="center"/>
    </w:pPr>
    <w:r>
      <w:fldChar w:fldCharType="begin"/>
    </w:r>
    <w:r w:rsidR="00F03E10">
      <w:instrText xml:space="preserve"> PAGE   \* MERGEFORMAT </w:instrText>
    </w:r>
    <w:r>
      <w:fldChar w:fldCharType="separate"/>
    </w:r>
    <w:r w:rsidR="005264D8">
      <w:rPr>
        <w:noProof/>
      </w:rPr>
      <w:t>1</w:t>
    </w:r>
    <w:r>
      <w:fldChar w:fldCharType="end"/>
    </w:r>
  </w:p>
  <w:p w:rsidR="00F03E10" w:rsidRDefault="00F03E10">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919" w:rsidRDefault="00B14919" w:rsidP="00776432">
      <w:pPr>
        <w:spacing w:after="0" w:line="240" w:lineRule="auto"/>
      </w:pPr>
      <w:r>
        <w:separator/>
      </w:r>
    </w:p>
  </w:footnote>
  <w:footnote w:type="continuationSeparator" w:id="0">
    <w:p w:rsidR="00B14919" w:rsidRDefault="00B14919" w:rsidP="00776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E10" w:rsidRDefault="00F03E10">
    <w:pPr>
      <w:spacing w:after="0" w:line="259" w:lineRule="auto"/>
      <w:ind w:left="0" w:right="56" w:firstLine="0"/>
      <w:jc w:val="right"/>
    </w:pPr>
    <w:r>
      <w:rPr>
        <w:b/>
        <w:sz w:val="24"/>
      </w:rPr>
      <w:t xml:space="preserve"> June 2018 </w:t>
    </w:r>
  </w:p>
  <w:p w:rsidR="00F03E10" w:rsidRDefault="00F03E10">
    <w:pPr>
      <w:spacing w:after="0" w:line="259" w:lineRule="auto"/>
      <w:ind w:left="0" w:right="65" w:firstLine="0"/>
      <w:jc w:val="center"/>
    </w:pPr>
    <w:r>
      <w:rPr>
        <w:b/>
        <w:i/>
        <w:sz w:val="24"/>
      </w:rPr>
      <w:t xml:space="preserve">Template for ESS10: Stakeholder Engagement and Information Disclosure </w:t>
    </w:r>
  </w:p>
  <w:p w:rsidR="00F03E10" w:rsidRDefault="00F03E10">
    <w:pPr>
      <w:spacing w:after="0" w:line="259" w:lineRule="auto"/>
      <w:ind w:left="0" w:right="64" w:firstLine="0"/>
      <w:jc w:val="center"/>
    </w:pPr>
    <w:r>
      <w:rPr>
        <w:b/>
        <w:i/>
        <w:sz w:val="24"/>
      </w:rPr>
      <w:t xml:space="preserve">Stakeholder Engagement Plan and Stakeholder Engagement Framework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E10" w:rsidRDefault="00B14919" w:rsidP="009711DD">
    <w:pPr>
      <w:spacing w:after="0" w:line="259" w:lineRule="auto"/>
      <w:ind w:left="0" w:right="56" w:firstLine="0"/>
      <w:jc w:val="right"/>
      <w:rPr>
        <w:color w:val="FFFFFF" w:themeColor="background1"/>
        <w:sz w:val="20"/>
        <w:szCs w:val="20"/>
      </w:rPr>
    </w:pPr>
    <w:sdt>
      <w:sdtPr>
        <w:rPr>
          <w:b/>
          <w:sz w:val="24"/>
        </w:rPr>
        <w:id w:val="1197964904"/>
        <w:docPartObj>
          <w:docPartGallery w:val="Watermarks"/>
          <w:docPartUnique/>
        </w:docPartObj>
      </w:sdtPr>
      <w:sdtEndPr/>
      <w:sdtContent>
        <w:r>
          <w:rPr>
            <w:b/>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9C75FA" w:rsidRPr="00DC4B6A" w:rsidRDefault="005264D8" w:rsidP="009C75FA">
    <w:pPr>
      <w:pStyle w:val="Sansinterligne"/>
      <w:jc w:val="center"/>
      <w:rPr>
        <w:color w:val="00B050"/>
        <w:sz w:val="36"/>
        <w:szCs w:val="36"/>
      </w:rPr>
    </w:pPr>
    <w:r>
      <w:rPr>
        <w:rFonts w:cstheme="minorHAnsi"/>
        <w:b/>
        <w:smallCaps/>
        <w:noProof/>
        <w:sz w:val="18"/>
        <w:szCs w:val="18"/>
        <w:lang w:val="fr-FR" w:eastAsia="fr-FR"/>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703695" cy="106680"/>
              <wp:effectExtent l="0" t="0" r="0" b="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extLst>
                    </wps:spPr>
                    <wps:txbx>
                      <w:txbxContent>
                        <w:p w:rsidR="009C75FA" w:rsidRDefault="009C75FA" w:rsidP="009C75FA">
                          <w:pPr>
                            <w:pStyle w:val="NormalWeb"/>
                            <w:spacing w:before="0" w:beforeAutospacing="0" w:after="0" w:afterAutospacing="0"/>
                            <w:jc w:val="center"/>
                          </w:pPr>
                          <w:r>
                            <w:rPr>
                              <w:rFonts w:ascii="Corbel" w:hAnsi="Corbel"/>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left:0;text-align:left;margin-left:0;margin-top:0;width:527.85pt;height:8.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" o:allowincell="f" filled="f" stroked="f">
              <o:lock v:ext="edit" shapetype="t"/>
              <v:textbox style="mso-fit-shape-to-text:t">
                <w:txbxContent>
                  <w:p w:rsidR="009C75FA" w:rsidRDefault="009C75FA" w:rsidP="009C75FA">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r w:rsidR="009C75FA" w:rsidRPr="0035569B">
      <w:rPr>
        <w:color w:val="00B050"/>
        <w:sz w:val="36"/>
        <w:szCs w:val="36"/>
      </w:rPr>
      <w:t xml:space="preserve"> </w:t>
    </w:r>
    <w:r w:rsidR="009C75FA" w:rsidRPr="00DC4B6A">
      <w:rPr>
        <w:color w:val="00B050"/>
        <w:sz w:val="36"/>
        <w:szCs w:val="36"/>
      </w:rPr>
      <w:t xml:space="preserve">República da </w:t>
    </w:r>
    <w:r w:rsidR="009C75FA" w:rsidRPr="00DC4B6A">
      <w:rPr>
        <w:noProof/>
        <w:color w:val="00B050"/>
        <w:sz w:val="36"/>
        <w:szCs w:val="36"/>
        <w:lang w:val="fr-FR" w:eastAsia="fr-FR"/>
      </w:rPr>
      <w:drawing>
        <wp:inline distT="0" distB="0" distL="0" distR="0">
          <wp:extent cx="485140" cy="42926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85140" cy="429260"/>
                  </a:xfrm>
                  <a:prstGeom prst="rect">
                    <a:avLst/>
                  </a:prstGeom>
                  <a:noFill/>
                  <a:ln w="9525">
                    <a:noFill/>
                    <a:miter lim="800000"/>
                    <a:headEnd/>
                    <a:tailEnd/>
                  </a:ln>
                </pic:spPr>
              </pic:pic>
            </a:graphicData>
          </a:graphic>
        </wp:inline>
      </w:drawing>
    </w:r>
    <w:r w:rsidR="009C75FA" w:rsidRPr="00DC4B6A">
      <w:rPr>
        <w:color w:val="00B050"/>
        <w:sz w:val="36"/>
        <w:szCs w:val="36"/>
      </w:rPr>
      <w:t>Guiné-Bissau</w:t>
    </w:r>
  </w:p>
  <w:p w:rsidR="00F03E10" w:rsidRPr="009C75FA" w:rsidRDefault="009C75FA" w:rsidP="009C75FA">
    <w:pPr>
      <w:pStyle w:val="Sansinterligne"/>
      <w:jc w:val="center"/>
      <w:rPr>
        <w:rFonts w:cstheme="minorHAnsi"/>
        <w:b/>
        <w:color w:val="808080" w:themeColor="background1" w:themeShade="80"/>
        <w:sz w:val="24"/>
        <w:lang w:val="fr-FR"/>
      </w:rPr>
    </w:pPr>
    <w:r w:rsidRPr="00DC4B6A">
      <w:rPr>
        <w:color w:val="00B050"/>
        <w:sz w:val="36"/>
        <w:szCs w:val="36"/>
      </w:rPr>
      <w:t>Ministério da Agricultura e Desenvolvimento Rural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7732"/>
    <w:multiLevelType w:val="hybridMultilevel"/>
    <w:tmpl w:val="0DA4B4F2"/>
    <w:lvl w:ilvl="0" w:tplc="15549A2E">
      <w:start w:val="1"/>
      <w:numFmt w:val="decimal"/>
      <w:lvlText w:val="%1."/>
      <w:lvlJc w:val="left"/>
      <w:pPr>
        <w:ind w:left="720" w:hanging="360"/>
      </w:pPr>
      <w:rPr>
        <w:rFonts w:asciiTheme="minorHAnsi" w:hAnsiTheme="minorHAnsi" w:cstheme="minorHAnsi" w:hint="default"/>
        <w:b w:val="0"/>
        <w:i w:val="0"/>
        <w:iCs w:val="0"/>
        <w:sz w:val="22"/>
        <w:szCs w:val="22"/>
      </w:rPr>
    </w:lvl>
    <w:lvl w:ilvl="1" w:tplc="4FB09824" w:tentative="1">
      <w:start w:val="1"/>
      <w:numFmt w:val="lowerLetter"/>
      <w:lvlText w:val="%2."/>
      <w:lvlJc w:val="left"/>
      <w:pPr>
        <w:ind w:left="1080" w:hanging="360"/>
      </w:pPr>
    </w:lvl>
    <w:lvl w:ilvl="2" w:tplc="1B2CECEC" w:tentative="1">
      <w:start w:val="1"/>
      <w:numFmt w:val="lowerRoman"/>
      <w:lvlText w:val="%3."/>
      <w:lvlJc w:val="right"/>
      <w:pPr>
        <w:ind w:left="1800" w:hanging="180"/>
      </w:pPr>
    </w:lvl>
    <w:lvl w:ilvl="3" w:tplc="A7AC02F0" w:tentative="1">
      <w:start w:val="1"/>
      <w:numFmt w:val="decimal"/>
      <w:lvlText w:val="%4."/>
      <w:lvlJc w:val="left"/>
      <w:pPr>
        <w:ind w:left="2520" w:hanging="360"/>
      </w:pPr>
    </w:lvl>
    <w:lvl w:ilvl="4" w:tplc="FFB085CE" w:tentative="1">
      <w:start w:val="1"/>
      <w:numFmt w:val="lowerLetter"/>
      <w:lvlText w:val="%5."/>
      <w:lvlJc w:val="left"/>
      <w:pPr>
        <w:ind w:left="3240" w:hanging="360"/>
      </w:pPr>
    </w:lvl>
    <w:lvl w:ilvl="5" w:tplc="C41ACEE2" w:tentative="1">
      <w:start w:val="1"/>
      <w:numFmt w:val="lowerRoman"/>
      <w:lvlText w:val="%6."/>
      <w:lvlJc w:val="right"/>
      <w:pPr>
        <w:ind w:left="3960" w:hanging="180"/>
      </w:pPr>
    </w:lvl>
    <w:lvl w:ilvl="6" w:tplc="4FFCF590" w:tentative="1">
      <w:start w:val="1"/>
      <w:numFmt w:val="decimal"/>
      <w:lvlText w:val="%7."/>
      <w:lvlJc w:val="left"/>
      <w:pPr>
        <w:ind w:left="4680" w:hanging="360"/>
      </w:pPr>
    </w:lvl>
    <w:lvl w:ilvl="7" w:tplc="3B14DECA" w:tentative="1">
      <w:start w:val="1"/>
      <w:numFmt w:val="lowerLetter"/>
      <w:lvlText w:val="%8."/>
      <w:lvlJc w:val="left"/>
      <w:pPr>
        <w:ind w:left="5400" w:hanging="360"/>
      </w:pPr>
    </w:lvl>
    <w:lvl w:ilvl="8" w:tplc="798A0A42" w:tentative="1">
      <w:start w:val="1"/>
      <w:numFmt w:val="lowerRoman"/>
      <w:lvlText w:val="%9."/>
      <w:lvlJc w:val="right"/>
      <w:pPr>
        <w:ind w:left="6120" w:hanging="180"/>
      </w:pPr>
    </w:lvl>
  </w:abstractNum>
  <w:abstractNum w:abstractNumId="1">
    <w:nsid w:val="03A21588"/>
    <w:multiLevelType w:val="hybridMultilevel"/>
    <w:tmpl w:val="52D07D06"/>
    <w:lvl w:ilvl="0" w:tplc="D0AC01B4">
      <w:start w:val="1"/>
      <w:numFmt w:val="decimal"/>
      <w:lvlText w:val="%1."/>
      <w:lvlJc w:val="left"/>
      <w:pPr>
        <w:ind w:left="2700" w:hanging="360"/>
      </w:pPr>
      <w:rPr>
        <w:rFonts w:asciiTheme="minorHAnsi" w:hAnsiTheme="minorHAnsi" w:cstheme="minorHAnsi" w:hint="default"/>
        <w:b w:val="0"/>
        <w:i w:val="0"/>
        <w:color w:val="000000" w:themeColor="text1"/>
        <w:sz w:val="22"/>
        <w:szCs w:val="22"/>
      </w:rPr>
    </w:lvl>
    <w:lvl w:ilvl="1" w:tplc="2940CECE">
      <w:start w:val="1"/>
      <w:numFmt w:val="lowerLetter"/>
      <w:lvlText w:val="%2."/>
      <w:lvlJc w:val="left"/>
      <w:pPr>
        <w:ind w:left="3240" w:hanging="360"/>
      </w:pPr>
      <w:rPr>
        <w:rFonts w:cs="Times New Roman"/>
      </w:rPr>
    </w:lvl>
    <w:lvl w:ilvl="2" w:tplc="4D8C4C12" w:tentative="1">
      <w:start w:val="1"/>
      <w:numFmt w:val="lowerRoman"/>
      <w:lvlText w:val="%3."/>
      <w:lvlJc w:val="right"/>
      <w:pPr>
        <w:ind w:left="3960" w:hanging="180"/>
      </w:pPr>
      <w:rPr>
        <w:rFonts w:cs="Times New Roman"/>
      </w:rPr>
    </w:lvl>
    <w:lvl w:ilvl="3" w:tplc="B156A2B4" w:tentative="1">
      <w:start w:val="1"/>
      <w:numFmt w:val="decimal"/>
      <w:lvlText w:val="%4."/>
      <w:lvlJc w:val="left"/>
      <w:pPr>
        <w:ind w:left="4680" w:hanging="360"/>
      </w:pPr>
      <w:rPr>
        <w:rFonts w:cs="Times New Roman"/>
      </w:rPr>
    </w:lvl>
    <w:lvl w:ilvl="4" w:tplc="499C55BE" w:tentative="1">
      <w:start w:val="1"/>
      <w:numFmt w:val="lowerLetter"/>
      <w:lvlText w:val="%5."/>
      <w:lvlJc w:val="left"/>
      <w:pPr>
        <w:ind w:left="5400" w:hanging="360"/>
      </w:pPr>
      <w:rPr>
        <w:rFonts w:cs="Times New Roman"/>
      </w:rPr>
    </w:lvl>
    <w:lvl w:ilvl="5" w:tplc="CEA8BB3A" w:tentative="1">
      <w:start w:val="1"/>
      <w:numFmt w:val="lowerRoman"/>
      <w:lvlText w:val="%6."/>
      <w:lvlJc w:val="right"/>
      <w:pPr>
        <w:ind w:left="6120" w:hanging="180"/>
      </w:pPr>
      <w:rPr>
        <w:rFonts w:cs="Times New Roman"/>
      </w:rPr>
    </w:lvl>
    <w:lvl w:ilvl="6" w:tplc="3B6AE29C" w:tentative="1">
      <w:start w:val="1"/>
      <w:numFmt w:val="decimal"/>
      <w:lvlText w:val="%7."/>
      <w:lvlJc w:val="left"/>
      <w:pPr>
        <w:ind w:left="6840" w:hanging="360"/>
      </w:pPr>
      <w:rPr>
        <w:rFonts w:cs="Times New Roman"/>
      </w:rPr>
    </w:lvl>
    <w:lvl w:ilvl="7" w:tplc="2EC6ABF8" w:tentative="1">
      <w:start w:val="1"/>
      <w:numFmt w:val="lowerLetter"/>
      <w:lvlText w:val="%8."/>
      <w:lvlJc w:val="left"/>
      <w:pPr>
        <w:ind w:left="7560" w:hanging="360"/>
      </w:pPr>
      <w:rPr>
        <w:rFonts w:cs="Times New Roman"/>
      </w:rPr>
    </w:lvl>
    <w:lvl w:ilvl="8" w:tplc="E3DAAD54" w:tentative="1">
      <w:start w:val="1"/>
      <w:numFmt w:val="lowerRoman"/>
      <w:lvlText w:val="%9."/>
      <w:lvlJc w:val="right"/>
      <w:pPr>
        <w:ind w:left="8280" w:hanging="180"/>
      </w:pPr>
      <w:rPr>
        <w:rFonts w:cs="Times New Roman"/>
      </w:rPr>
    </w:lvl>
  </w:abstractNum>
  <w:abstractNum w:abstractNumId="2">
    <w:nsid w:val="0CC80F22"/>
    <w:multiLevelType w:val="hybridMultilevel"/>
    <w:tmpl w:val="EF50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30CCE"/>
    <w:multiLevelType w:val="hybridMultilevel"/>
    <w:tmpl w:val="7C70471A"/>
    <w:lvl w:ilvl="0" w:tplc="2904D5D2">
      <w:start w:val="1"/>
      <w:numFmt w:val="decimal"/>
      <w:lvlText w:val="%1."/>
      <w:lvlJc w:val="left"/>
      <w:pPr>
        <w:ind w:left="720" w:hanging="360"/>
      </w:pPr>
      <w:rPr>
        <w:rFonts w:ascii="Calibri" w:hAnsi="Calibri" w:cs="Calibri" w:hint="default"/>
        <w:b w:val="0"/>
        <w:color w:val="262626"/>
        <w:sz w:val="22"/>
        <w:szCs w:val="22"/>
      </w:rPr>
    </w:lvl>
    <w:lvl w:ilvl="1" w:tplc="D6EE1250">
      <w:numFmt w:val="bullet"/>
      <w:lvlText w:val=""/>
      <w:lvlJc w:val="left"/>
      <w:pPr>
        <w:ind w:left="1440" w:hanging="360"/>
      </w:pPr>
      <w:rPr>
        <w:rFonts w:ascii="Symbol" w:eastAsia="Times New Roman" w:hAnsi="Symbol"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74C0E"/>
    <w:multiLevelType w:val="multilevel"/>
    <w:tmpl w:val="E5569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A1152"/>
    <w:multiLevelType w:val="hybridMultilevel"/>
    <w:tmpl w:val="2E2A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A6B36"/>
    <w:multiLevelType w:val="hybridMultilevel"/>
    <w:tmpl w:val="AEFEDD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17D0340D"/>
    <w:multiLevelType w:val="multilevel"/>
    <w:tmpl w:val="11F09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B2521"/>
    <w:multiLevelType w:val="hybridMultilevel"/>
    <w:tmpl w:val="A83A5C20"/>
    <w:lvl w:ilvl="0" w:tplc="46D4A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EC6E56"/>
    <w:multiLevelType w:val="hybridMultilevel"/>
    <w:tmpl w:val="4C108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D3044C"/>
    <w:multiLevelType w:val="hybridMultilevel"/>
    <w:tmpl w:val="2F1CC59A"/>
    <w:lvl w:ilvl="0" w:tplc="040C0001">
      <w:start w:val="1"/>
      <w:numFmt w:val="bullet"/>
      <w:lvlText w:val=""/>
      <w:lvlJc w:val="left"/>
      <w:pPr>
        <w:ind w:left="900" w:hanging="360"/>
      </w:pPr>
      <w:rPr>
        <w:rFonts w:ascii="Symbol" w:hAnsi="Symbol" w:hint="default"/>
      </w:rPr>
    </w:lvl>
    <w:lvl w:ilvl="1" w:tplc="3984F5A8">
      <w:numFmt w:val="bullet"/>
      <w:lvlText w:val="-"/>
      <w:lvlJc w:val="left"/>
      <w:pPr>
        <w:ind w:left="1620" w:hanging="360"/>
      </w:pPr>
      <w:rPr>
        <w:rFonts w:ascii="Calibri" w:eastAsia="Calibri" w:hAnsi="Calibri" w:cstheme="minorHAnsi"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3">
    <w:nsid w:val="34473820"/>
    <w:multiLevelType w:val="hybridMultilevel"/>
    <w:tmpl w:val="43E0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60D1C"/>
    <w:multiLevelType w:val="hybridMultilevel"/>
    <w:tmpl w:val="430A4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EA4F60"/>
    <w:multiLevelType w:val="hybridMultilevel"/>
    <w:tmpl w:val="3EFC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98460A"/>
    <w:multiLevelType w:val="multilevel"/>
    <w:tmpl w:val="59A6BB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606A2"/>
    <w:multiLevelType w:val="hybridMultilevel"/>
    <w:tmpl w:val="8794E0BE"/>
    <w:lvl w:ilvl="0" w:tplc="62A85384">
      <w:start w:val="8"/>
      <w:numFmt w:val="decimal"/>
      <w:lvlText w:val="%1."/>
      <w:lvlJc w:val="left"/>
      <w:pPr>
        <w:ind w:left="720" w:hanging="360"/>
      </w:pPr>
      <w:rPr>
        <w:rFonts w:asciiTheme="minorHAnsi" w:hAnsiTheme="minorHAnsi" w:cstheme="minorHAnsi" w:hint="default"/>
        <w:b w:val="0"/>
        <w:bCs w:val="0"/>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1E3CFC"/>
    <w:multiLevelType w:val="hybridMultilevel"/>
    <w:tmpl w:val="D12E7B04"/>
    <w:lvl w:ilvl="0" w:tplc="E230CBEA">
      <w:start w:val="1"/>
      <w:numFmt w:val="decimal"/>
      <w:lvlText w:val="%1."/>
      <w:lvlJc w:val="left"/>
      <w:pPr>
        <w:ind w:left="540" w:hanging="360"/>
      </w:pPr>
      <w:rPr>
        <w:rFonts w:asciiTheme="minorHAnsi" w:hAnsiTheme="minorHAnsi" w:cstheme="minorHAnsi" w:hint="default"/>
        <w:b w:val="0"/>
        <w:bCs w:val="0"/>
        <w:i w:val="0"/>
        <w:iCs w:val="0"/>
        <w:sz w:val="22"/>
        <w:szCs w:val="22"/>
      </w:rPr>
    </w:lvl>
    <w:lvl w:ilvl="1" w:tplc="0366E36E">
      <w:start w:val="1"/>
      <w:numFmt w:val="lowerLetter"/>
      <w:lvlText w:val="%2."/>
      <w:lvlJc w:val="left"/>
      <w:pPr>
        <w:ind w:left="1080" w:hanging="360"/>
      </w:pPr>
    </w:lvl>
    <w:lvl w:ilvl="2" w:tplc="80DABCD6">
      <w:start w:val="1"/>
      <w:numFmt w:val="lowerRoman"/>
      <w:lvlText w:val="%3."/>
      <w:lvlJc w:val="right"/>
      <w:pPr>
        <w:ind w:left="1800" w:hanging="180"/>
      </w:pPr>
    </w:lvl>
    <w:lvl w:ilvl="3" w:tplc="EAD8DD08">
      <w:start w:val="1"/>
      <w:numFmt w:val="decimal"/>
      <w:lvlText w:val="%4."/>
      <w:lvlJc w:val="left"/>
      <w:pPr>
        <w:ind w:left="2520" w:hanging="360"/>
      </w:pPr>
    </w:lvl>
    <w:lvl w:ilvl="4" w:tplc="35E026C6">
      <w:start w:val="1"/>
      <w:numFmt w:val="lowerLetter"/>
      <w:lvlText w:val="%5."/>
      <w:lvlJc w:val="left"/>
      <w:pPr>
        <w:ind w:left="3240" w:hanging="360"/>
      </w:pPr>
    </w:lvl>
    <w:lvl w:ilvl="5" w:tplc="F1BE9A14">
      <w:start w:val="1"/>
      <w:numFmt w:val="lowerRoman"/>
      <w:lvlText w:val="%6."/>
      <w:lvlJc w:val="right"/>
      <w:pPr>
        <w:ind w:left="3960" w:hanging="180"/>
      </w:pPr>
    </w:lvl>
    <w:lvl w:ilvl="6" w:tplc="8962EB06">
      <w:start w:val="1"/>
      <w:numFmt w:val="decimal"/>
      <w:lvlText w:val="%7."/>
      <w:lvlJc w:val="left"/>
      <w:pPr>
        <w:ind w:left="4680" w:hanging="360"/>
      </w:pPr>
    </w:lvl>
    <w:lvl w:ilvl="7" w:tplc="F462E178" w:tentative="1">
      <w:start w:val="1"/>
      <w:numFmt w:val="lowerLetter"/>
      <w:lvlText w:val="%8."/>
      <w:lvlJc w:val="left"/>
      <w:pPr>
        <w:ind w:left="5400" w:hanging="360"/>
      </w:pPr>
    </w:lvl>
    <w:lvl w:ilvl="8" w:tplc="60A40728" w:tentative="1">
      <w:start w:val="1"/>
      <w:numFmt w:val="lowerRoman"/>
      <w:lvlText w:val="%9."/>
      <w:lvlJc w:val="right"/>
      <w:pPr>
        <w:ind w:left="6120" w:hanging="180"/>
      </w:pPr>
    </w:lvl>
  </w:abstractNum>
  <w:abstractNum w:abstractNumId="20">
    <w:nsid w:val="644732EF"/>
    <w:multiLevelType w:val="hybridMultilevel"/>
    <w:tmpl w:val="815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F41B27"/>
    <w:multiLevelType w:val="hybridMultilevel"/>
    <w:tmpl w:val="9DC4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015693"/>
    <w:multiLevelType w:val="hybridMultilevel"/>
    <w:tmpl w:val="0E4608BC"/>
    <w:lvl w:ilvl="0" w:tplc="3B1E39E6">
      <w:start w:val="1"/>
      <w:numFmt w:val="upperLetter"/>
      <w:lvlText w:val="%1."/>
      <w:lvlJc w:val="left"/>
      <w:pPr>
        <w:ind w:left="720" w:hanging="360"/>
      </w:pPr>
      <w:rPr>
        <w:rFonts w:hint="default"/>
      </w:rPr>
    </w:lvl>
    <w:lvl w:ilvl="1" w:tplc="7F485382" w:tentative="1">
      <w:start w:val="1"/>
      <w:numFmt w:val="lowerLetter"/>
      <w:lvlText w:val="%2."/>
      <w:lvlJc w:val="left"/>
      <w:pPr>
        <w:ind w:left="1440" w:hanging="360"/>
      </w:pPr>
    </w:lvl>
    <w:lvl w:ilvl="2" w:tplc="36BA0960" w:tentative="1">
      <w:start w:val="1"/>
      <w:numFmt w:val="lowerRoman"/>
      <w:lvlText w:val="%3."/>
      <w:lvlJc w:val="right"/>
      <w:pPr>
        <w:ind w:left="2160" w:hanging="180"/>
      </w:pPr>
    </w:lvl>
    <w:lvl w:ilvl="3" w:tplc="296C8D3A" w:tentative="1">
      <w:start w:val="1"/>
      <w:numFmt w:val="decimal"/>
      <w:lvlText w:val="%4."/>
      <w:lvlJc w:val="left"/>
      <w:pPr>
        <w:ind w:left="2880" w:hanging="360"/>
      </w:pPr>
    </w:lvl>
    <w:lvl w:ilvl="4" w:tplc="8D348B8E" w:tentative="1">
      <w:start w:val="1"/>
      <w:numFmt w:val="lowerLetter"/>
      <w:lvlText w:val="%5."/>
      <w:lvlJc w:val="left"/>
      <w:pPr>
        <w:ind w:left="3600" w:hanging="360"/>
      </w:pPr>
    </w:lvl>
    <w:lvl w:ilvl="5" w:tplc="3918A93E" w:tentative="1">
      <w:start w:val="1"/>
      <w:numFmt w:val="lowerRoman"/>
      <w:lvlText w:val="%6."/>
      <w:lvlJc w:val="right"/>
      <w:pPr>
        <w:ind w:left="4320" w:hanging="180"/>
      </w:pPr>
    </w:lvl>
    <w:lvl w:ilvl="6" w:tplc="3BF2118E" w:tentative="1">
      <w:start w:val="1"/>
      <w:numFmt w:val="decimal"/>
      <w:lvlText w:val="%7."/>
      <w:lvlJc w:val="left"/>
      <w:pPr>
        <w:ind w:left="5040" w:hanging="360"/>
      </w:pPr>
    </w:lvl>
    <w:lvl w:ilvl="7" w:tplc="DEBEBEC4" w:tentative="1">
      <w:start w:val="1"/>
      <w:numFmt w:val="lowerLetter"/>
      <w:lvlText w:val="%8."/>
      <w:lvlJc w:val="left"/>
      <w:pPr>
        <w:ind w:left="5760" w:hanging="360"/>
      </w:pPr>
    </w:lvl>
    <w:lvl w:ilvl="8" w:tplc="F5CAF2E6" w:tentative="1">
      <w:start w:val="1"/>
      <w:numFmt w:val="lowerRoman"/>
      <w:lvlText w:val="%9."/>
      <w:lvlJc w:val="right"/>
      <w:pPr>
        <w:ind w:left="6480" w:hanging="180"/>
      </w:pPr>
    </w:lvl>
  </w:abstractNum>
  <w:abstractNum w:abstractNumId="24">
    <w:nsid w:val="70BC26C2"/>
    <w:multiLevelType w:val="hybridMultilevel"/>
    <w:tmpl w:val="1EACFAE2"/>
    <w:lvl w:ilvl="0" w:tplc="1AB26AD8">
      <w:start w:val="1"/>
      <w:numFmt w:val="lowerRoman"/>
      <w:lvlText w:val="%1."/>
      <w:lvlJc w:val="left"/>
      <w:pPr>
        <w:ind w:left="720" w:hanging="360"/>
      </w:pPr>
      <w:rPr>
        <w:rFonts w:hint="default"/>
        <w:b w:val="0"/>
        <w:color w:val="262626"/>
        <w:sz w:val="22"/>
        <w:szCs w:val="22"/>
      </w:rPr>
    </w:lvl>
    <w:lvl w:ilvl="1" w:tplc="D6EE1250">
      <w:numFmt w:val="bullet"/>
      <w:lvlText w:val=""/>
      <w:lvlJc w:val="left"/>
      <w:pPr>
        <w:ind w:left="1440" w:hanging="360"/>
      </w:pPr>
      <w:rPr>
        <w:rFonts w:ascii="Symbol" w:eastAsia="Times New Roman" w:hAnsi="Symbol"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A37C96"/>
    <w:multiLevelType w:val="hybridMultilevel"/>
    <w:tmpl w:val="B03A39CC"/>
    <w:lvl w:ilvl="0" w:tplc="0409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9"/>
  </w:num>
  <w:num w:numId="2">
    <w:abstractNumId w:val="5"/>
  </w:num>
  <w:num w:numId="3">
    <w:abstractNumId w:val="14"/>
  </w:num>
  <w:num w:numId="4">
    <w:abstractNumId w:val="21"/>
  </w:num>
  <w:num w:numId="5">
    <w:abstractNumId w:val="3"/>
  </w:num>
  <w:num w:numId="6">
    <w:abstractNumId w:val="24"/>
  </w:num>
  <w:num w:numId="7">
    <w:abstractNumId w:val="15"/>
  </w:num>
  <w:num w:numId="8">
    <w:abstractNumId w:val="7"/>
  </w:num>
  <w:num w:numId="9">
    <w:abstractNumId w:val="20"/>
  </w:num>
  <w:num w:numId="10">
    <w:abstractNumId w:val="23"/>
  </w:num>
  <w:num w:numId="11">
    <w:abstractNumId w:val="1"/>
  </w:num>
  <w:num w:numId="12">
    <w:abstractNumId w:val="22"/>
  </w:num>
  <w:num w:numId="13">
    <w:abstractNumId w:val="6"/>
  </w:num>
  <w:num w:numId="14">
    <w:abstractNumId w:val="13"/>
  </w:num>
  <w:num w:numId="15">
    <w:abstractNumId w:val="18"/>
  </w:num>
  <w:num w:numId="16">
    <w:abstractNumId w:val="16"/>
  </w:num>
  <w:num w:numId="17">
    <w:abstractNumId w:val="10"/>
  </w:num>
  <w:num w:numId="18">
    <w:abstractNumId w:val="4"/>
  </w:num>
  <w:num w:numId="19">
    <w:abstractNumId w:val="17"/>
  </w:num>
  <w:num w:numId="20">
    <w:abstractNumId w:val="8"/>
  </w:num>
  <w:num w:numId="21">
    <w:abstractNumId w:val="19"/>
  </w:num>
  <w:num w:numId="22">
    <w:abstractNumId w:val="0"/>
  </w:num>
  <w:num w:numId="23">
    <w:abstractNumId w:val="2"/>
  </w:num>
  <w:num w:numId="24">
    <w:abstractNumId w:val="12"/>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32"/>
    <w:rsid w:val="00007255"/>
    <w:rsid w:val="000264D4"/>
    <w:rsid w:val="000315AF"/>
    <w:rsid w:val="00032071"/>
    <w:rsid w:val="000330AE"/>
    <w:rsid w:val="000528D2"/>
    <w:rsid w:val="00060152"/>
    <w:rsid w:val="00081F25"/>
    <w:rsid w:val="00085F83"/>
    <w:rsid w:val="00095E82"/>
    <w:rsid w:val="000A3485"/>
    <w:rsid w:val="000A4EA9"/>
    <w:rsid w:val="000A5901"/>
    <w:rsid w:val="000B034C"/>
    <w:rsid w:val="000B0C25"/>
    <w:rsid w:val="000B38C1"/>
    <w:rsid w:val="000D04EF"/>
    <w:rsid w:val="000D0DFC"/>
    <w:rsid w:val="000D4719"/>
    <w:rsid w:val="000E4B61"/>
    <w:rsid w:val="000E5D07"/>
    <w:rsid w:val="00100AC4"/>
    <w:rsid w:val="00112EDC"/>
    <w:rsid w:val="00136F78"/>
    <w:rsid w:val="00162DA7"/>
    <w:rsid w:val="0016418D"/>
    <w:rsid w:val="00167270"/>
    <w:rsid w:val="0018285F"/>
    <w:rsid w:val="0019046C"/>
    <w:rsid w:val="00195BD1"/>
    <w:rsid w:val="001B28E4"/>
    <w:rsid w:val="001B5052"/>
    <w:rsid w:val="001C5180"/>
    <w:rsid w:val="001D59DB"/>
    <w:rsid w:val="001E5DC0"/>
    <w:rsid w:val="001F7C98"/>
    <w:rsid w:val="00202F50"/>
    <w:rsid w:val="00211E78"/>
    <w:rsid w:val="0021456D"/>
    <w:rsid w:val="002237D2"/>
    <w:rsid w:val="002242C1"/>
    <w:rsid w:val="00233368"/>
    <w:rsid w:val="00233AAC"/>
    <w:rsid w:val="002361EF"/>
    <w:rsid w:val="0024225C"/>
    <w:rsid w:val="002459A4"/>
    <w:rsid w:val="00251D9B"/>
    <w:rsid w:val="002813AC"/>
    <w:rsid w:val="002813D5"/>
    <w:rsid w:val="002A1D3A"/>
    <w:rsid w:val="002A26D0"/>
    <w:rsid w:val="002B2813"/>
    <w:rsid w:val="002C2214"/>
    <w:rsid w:val="002C607C"/>
    <w:rsid w:val="002C7008"/>
    <w:rsid w:val="002E40EE"/>
    <w:rsid w:val="002E5FD1"/>
    <w:rsid w:val="002F4F3F"/>
    <w:rsid w:val="00304535"/>
    <w:rsid w:val="003137F9"/>
    <w:rsid w:val="00317592"/>
    <w:rsid w:val="00317798"/>
    <w:rsid w:val="00356BED"/>
    <w:rsid w:val="00357ACB"/>
    <w:rsid w:val="003664DB"/>
    <w:rsid w:val="00371261"/>
    <w:rsid w:val="00381068"/>
    <w:rsid w:val="00387569"/>
    <w:rsid w:val="00395537"/>
    <w:rsid w:val="003A22B9"/>
    <w:rsid w:val="003A2A1C"/>
    <w:rsid w:val="003A7D9D"/>
    <w:rsid w:val="003E416E"/>
    <w:rsid w:val="003F70BB"/>
    <w:rsid w:val="0044194A"/>
    <w:rsid w:val="00466E41"/>
    <w:rsid w:val="004860B2"/>
    <w:rsid w:val="00487216"/>
    <w:rsid w:val="00495653"/>
    <w:rsid w:val="004A0513"/>
    <w:rsid w:val="004A2AE0"/>
    <w:rsid w:val="004C4D2D"/>
    <w:rsid w:val="004D13FE"/>
    <w:rsid w:val="004E6C3B"/>
    <w:rsid w:val="004F087E"/>
    <w:rsid w:val="004F411E"/>
    <w:rsid w:val="00503DAB"/>
    <w:rsid w:val="00517598"/>
    <w:rsid w:val="00520B98"/>
    <w:rsid w:val="005237D0"/>
    <w:rsid w:val="00526023"/>
    <w:rsid w:val="005264D8"/>
    <w:rsid w:val="00534E88"/>
    <w:rsid w:val="0054526F"/>
    <w:rsid w:val="00576421"/>
    <w:rsid w:val="00590FA5"/>
    <w:rsid w:val="005A299F"/>
    <w:rsid w:val="005C077C"/>
    <w:rsid w:val="005D2431"/>
    <w:rsid w:val="006049B6"/>
    <w:rsid w:val="00610926"/>
    <w:rsid w:val="00623476"/>
    <w:rsid w:val="00626EA2"/>
    <w:rsid w:val="006323B3"/>
    <w:rsid w:val="00635BDD"/>
    <w:rsid w:val="00645B00"/>
    <w:rsid w:val="006470B3"/>
    <w:rsid w:val="0065560D"/>
    <w:rsid w:val="00656B9C"/>
    <w:rsid w:val="00662992"/>
    <w:rsid w:val="00666E6E"/>
    <w:rsid w:val="0067370C"/>
    <w:rsid w:val="006776DE"/>
    <w:rsid w:val="006A4D6A"/>
    <w:rsid w:val="006B451A"/>
    <w:rsid w:val="006B677E"/>
    <w:rsid w:val="006C4CB4"/>
    <w:rsid w:val="006D3FC9"/>
    <w:rsid w:val="006E4BF6"/>
    <w:rsid w:val="006E6FCB"/>
    <w:rsid w:val="006F2121"/>
    <w:rsid w:val="007235C1"/>
    <w:rsid w:val="00732022"/>
    <w:rsid w:val="007321E6"/>
    <w:rsid w:val="0073258B"/>
    <w:rsid w:val="00733F28"/>
    <w:rsid w:val="00736082"/>
    <w:rsid w:val="00760667"/>
    <w:rsid w:val="00764FB0"/>
    <w:rsid w:val="00770145"/>
    <w:rsid w:val="00774C10"/>
    <w:rsid w:val="00776432"/>
    <w:rsid w:val="00783C03"/>
    <w:rsid w:val="0079427D"/>
    <w:rsid w:val="007947DC"/>
    <w:rsid w:val="007A3D9A"/>
    <w:rsid w:val="007A7FEC"/>
    <w:rsid w:val="007B254C"/>
    <w:rsid w:val="007C0665"/>
    <w:rsid w:val="007C6175"/>
    <w:rsid w:val="007D7C1B"/>
    <w:rsid w:val="007F0E5E"/>
    <w:rsid w:val="007F19EB"/>
    <w:rsid w:val="008137DF"/>
    <w:rsid w:val="008545A2"/>
    <w:rsid w:val="00862904"/>
    <w:rsid w:val="0086715B"/>
    <w:rsid w:val="00867B23"/>
    <w:rsid w:val="00881A00"/>
    <w:rsid w:val="008904A9"/>
    <w:rsid w:val="00895190"/>
    <w:rsid w:val="008959E8"/>
    <w:rsid w:val="008A5E82"/>
    <w:rsid w:val="008C1437"/>
    <w:rsid w:val="008C2962"/>
    <w:rsid w:val="008D34A1"/>
    <w:rsid w:val="008D788E"/>
    <w:rsid w:val="008E34B1"/>
    <w:rsid w:val="00947C87"/>
    <w:rsid w:val="00952F1C"/>
    <w:rsid w:val="00965A02"/>
    <w:rsid w:val="009711DD"/>
    <w:rsid w:val="00972E3A"/>
    <w:rsid w:val="0097569A"/>
    <w:rsid w:val="0098444D"/>
    <w:rsid w:val="00997801"/>
    <w:rsid w:val="009A3F60"/>
    <w:rsid w:val="009A6664"/>
    <w:rsid w:val="009B4339"/>
    <w:rsid w:val="009B7060"/>
    <w:rsid w:val="009C0AE0"/>
    <w:rsid w:val="009C75FA"/>
    <w:rsid w:val="009D4F81"/>
    <w:rsid w:val="00A0341B"/>
    <w:rsid w:val="00A043C6"/>
    <w:rsid w:val="00A13F9B"/>
    <w:rsid w:val="00A154B5"/>
    <w:rsid w:val="00A218F2"/>
    <w:rsid w:val="00A22DD3"/>
    <w:rsid w:val="00A22E17"/>
    <w:rsid w:val="00A22E4D"/>
    <w:rsid w:val="00A37D06"/>
    <w:rsid w:val="00A522BC"/>
    <w:rsid w:val="00A818BC"/>
    <w:rsid w:val="00A8336D"/>
    <w:rsid w:val="00A96750"/>
    <w:rsid w:val="00AA032F"/>
    <w:rsid w:val="00AB35DA"/>
    <w:rsid w:val="00AB7DDA"/>
    <w:rsid w:val="00AC0742"/>
    <w:rsid w:val="00AD0F0C"/>
    <w:rsid w:val="00AD7837"/>
    <w:rsid w:val="00AE0341"/>
    <w:rsid w:val="00AE1B2E"/>
    <w:rsid w:val="00AE53C7"/>
    <w:rsid w:val="00AF1C05"/>
    <w:rsid w:val="00AF5081"/>
    <w:rsid w:val="00B043E5"/>
    <w:rsid w:val="00B13C72"/>
    <w:rsid w:val="00B14919"/>
    <w:rsid w:val="00B17F45"/>
    <w:rsid w:val="00B47606"/>
    <w:rsid w:val="00B61944"/>
    <w:rsid w:val="00B629E1"/>
    <w:rsid w:val="00B76099"/>
    <w:rsid w:val="00B81AC7"/>
    <w:rsid w:val="00B87FEB"/>
    <w:rsid w:val="00B91979"/>
    <w:rsid w:val="00BA1BD5"/>
    <w:rsid w:val="00BB36BB"/>
    <w:rsid w:val="00BB7641"/>
    <w:rsid w:val="00BD2D44"/>
    <w:rsid w:val="00BF0588"/>
    <w:rsid w:val="00BF1913"/>
    <w:rsid w:val="00C17157"/>
    <w:rsid w:val="00C22E29"/>
    <w:rsid w:val="00C3664F"/>
    <w:rsid w:val="00C53C01"/>
    <w:rsid w:val="00C571FD"/>
    <w:rsid w:val="00C605A2"/>
    <w:rsid w:val="00C6545A"/>
    <w:rsid w:val="00C73280"/>
    <w:rsid w:val="00C73BF0"/>
    <w:rsid w:val="00C761D3"/>
    <w:rsid w:val="00C8029A"/>
    <w:rsid w:val="00C906A6"/>
    <w:rsid w:val="00C9478B"/>
    <w:rsid w:val="00C94E42"/>
    <w:rsid w:val="00CB4C7B"/>
    <w:rsid w:val="00CC7EBA"/>
    <w:rsid w:val="00CD5EF2"/>
    <w:rsid w:val="00CD5FBC"/>
    <w:rsid w:val="00CE4129"/>
    <w:rsid w:val="00CF5E1F"/>
    <w:rsid w:val="00CF6C5C"/>
    <w:rsid w:val="00D05A5A"/>
    <w:rsid w:val="00D06BFE"/>
    <w:rsid w:val="00D075DD"/>
    <w:rsid w:val="00D11C4C"/>
    <w:rsid w:val="00D2013C"/>
    <w:rsid w:val="00D203C8"/>
    <w:rsid w:val="00D21317"/>
    <w:rsid w:val="00D30DE3"/>
    <w:rsid w:val="00D31FD3"/>
    <w:rsid w:val="00D365BA"/>
    <w:rsid w:val="00D52D00"/>
    <w:rsid w:val="00D619CD"/>
    <w:rsid w:val="00D77883"/>
    <w:rsid w:val="00D957BE"/>
    <w:rsid w:val="00DB7CCF"/>
    <w:rsid w:val="00DC35CA"/>
    <w:rsid w:val="00DC3879"/>
    <w:rsid w:val="00DD4320"/>
    <w:rsid w:val="00DD65CA"/>
    <w:rsid w:val="00DF29B0"/>
    <w:rsid w:val="00E0501F"/>
    <w:rsid w:val="00E14806"/>
    <w:rsid w:val="00E17C86"/>
    <w:rsid w:val="00E316A4"/>
    <w:rsid w:val="00E3452B"/>
    <w:rsid w:val="00E47DAE"/>
    <w:rsid w:val="00E51034"/>
    <w:rsid w:val="00E52253"/>
    <w:rsid w:val="00E6798D"/>
    <w:rsid w:val="00E75E5B"/>
    <w:rsid w:val="00E87003"/>
    <w:rsid w:val="00E93943"/>
    <w:rsid w:val="00EA299E"/>
    <w:rsid w:val="00EA4956"/>
    <w:rsid w:val="00EA73F6"/>
    <w:rsid w:val="00EB482E"/>
    <w:rsid w:val="00EC7B12"/>
    <w:rsid w:val="00F03E10"/>
    <w:rsid w:val="00F15827"/>
    <w:rsid w:val="00F22B87"/>
    <w:rsid w:val="00F257A5"/>
    <w:rsid w:val="00F3157D"/>
    <w:rsid w:val="00F379EF"/>
    <w:rsid w:val="00F52B29"/>
    <w:rsid w:val="00F57637"/>
    <w:rsid w:val="00F60214"/>
    <w:rsid w:val="00F917DE"/>
    <w:rsid w:val="00F93B46"/>
    <w:rsid w:val="00FA41AB"/>
    <w:rsid w:val="00FA6D1B"/>
    <w:rsid w:val="00FB3958"/>
    <w:rsid w:val="00FF09C2"/>
    <w:rsid w:val="00FF57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BD7E7D48-B77A-4130-908C-2A850924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432"/>
    <w:pPr>
      <w:spacing w:after="156" w:line="249" w:lineRule="auto"/>
      <w:ind w:left="10" w:hanging="10"/>
      <w:jc w:val="both"/>
    </w:pPr>
    <w:rPr>
      <w:rFonts w:ascii="Calibri" w:eastAsia="Calibri" w:hAnsi="Calibri" w:cs="Calibri"/>
      <w:color w:val="000000"/>
    </w:rPr>
  </w:style>
  <w:style w:type="paragraph" w:styleId="Titre1">
    <w:name w:val="heading 1"/>
    <w:next w:val="Normal"/>
    <w:link w:val="Titre1Car"/>
    <w:uiPriority w:val="9"/>
    <w:qFormat/>
    <w:rsid w:val="00776432"/>
    <w:pPr>
      <w:keepNext/>
      <w:keepLines/>
      <w:spacing w:after="0"/>
      <w:ind w:left="10" w:right="59" w:hanging="10"/>
      <w:jc w:val="center"/>
      <w:outlineLvl w:val="0"/>
    </w:pPr>
    <w:rPr>
      <w:rFonts w:ascii="Calibri" w:eastAsia="Calibri" w:hAnsi="Calibri" w:cs="Calibri"/>
      <w:b/>
      <w:color w:val="000000"/>
    </w:rPr>
  </w:style>
  <w:style w:type="paragraph" w:styleId="Titre2">
    <w:name w:val="heading 2"/>
    <w:next w:val="Normal"/>
    <w:link w:val="Titre2Car"/>
    <w:uiPriority w:val="9"/>
    <w:unhideWhenUsed/>
    <w:qFormat/>
    <w:rsid w:val="00776432"/>
    <w:pPr>
      <w:keepNext/>
      <w:keepLines/>
      <w:spacing w:after="97"/>
      <w:ind w:left="10" w:hanging="10"/>
      <w:outlineLvl w:val="1"/>
    </w:pPr>
    <w:rPr>
      <w:rFonts w:ascii="Calibri" w:eastAsia="Calibri" w:hAnsi="Calibri" w:cs="Calibri"/>
      <w:b/>
      <w:color w:val="538135"/>
    </w:rPr>
  </w:style>
  <w:style w:type="paragraph" w:styleId="Titre3">
    <w:name w:val="heading 3"/>
    <w:next w:val="Normal"/>
    <w:link w:val="Titre3Car"/>
    <w:uiPriority w:val="9"/>
    <w:unhideWhenUsed/>
    <w:qFormat/>
    <w:rsid w:val="00776432"/>
    <w:pPr>
      <w:keepNext/>
      <w:keepLines/>
      <w:spacing w:after="97"/>
      <w:ind w:left="716" w:hanging="10"/>
      <w:outlineLvl w:val="2"/>
    </w:pPr>
    <w:rPr>
      <w:rFonts w:ascii="Calibri" w:eastAsia="Calibri" w:hAnsi="Calibri" w:cs="Calibri"/>
      <w:color w:val="53813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6432"/>
    <w:rPr>
      <w:rFonts w:ascii="Calibri" w:eastAsia="Calibri" w:hAnsi="Calibri" w:cs="Calibri"/>
      <w:b/>
      <w:color w:val="000000"/>
    </w:rPr>
  </w:style>
  <w:style w:type="character" w:customStyle="1" w:styleId="Titre2Car">
    <w:name w:val="Titre 2 Car"/>
    <w:basedOn w:val="Policepardfaut"/>
    <w:link w:val="Titre2"/>
    <w:uiPriority w:val="9"/>
    <w:rsid w:val="00776432"/>
    <w:rPr>
      <w:rFonts w:ascii="Calibri" w:eastAsia="Calibri" w:hAnsi="Calibri" w:cs="Calibri"/>
      <w:b/>
      <w:color w:val="538135"/>
    </w:rPr>
  </w:style>
  <w:style w:type="character" w:customStyle="1" w:styleId="Titre3Car">
    <w:name w:val="Titre 3 Car"/>
    <w:basedOn w:val="Policepardfaut"/>
    <w:link w:val="Titre3"/>
    <w:uiPriority w:val="9"/>
    <w:rsid w:val="00776432"/>
    <w:rPr>
      <w:rFonts w:ascii="Calibri" w:eastAsia="Calibri" w:hAnsi="Calibri" w:cs="Calibri"/>
      <w:color w:val="538135"/>
    </w:rPr>
  </w:style>
  <w:style w:type="paragraph" w:styleId="Paragraphedeliste">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ParagraphedelisteCar"/>
    <w:uiPriority w:val="34"/>
    <w:qFormat/>
    <w:rsid w:val="00776432"/>
    <w:pPr>
      <w:ind w:left="720"/>
      <w:contextualSpacing/>
    </w:pPr>
  </w:style>
  <w:style w:type="paragraph" w:styleId="Notedebasdepage">
    <w:name w:val="footnote text"/>
    <w:aliases w:val="Boston 10,FOOTNOTES,Font: Geneva 9,Footnote,Footnote Text Char Char,Footnote Text Char1,Footnote Text Char1 Char Char,Footnote Text Char2 Char,Footnote text,Geneva 9,Texto nota pie Car,f,fn,footnote text,ft,single space,text"/>
    <w:basedOn w:val="Normal"/>
    <w:link w:val="NotedebasdepageCar"/>
    <w:uiPriority w:val="99"/>
    <w:unhideWhenUsed/>
    <w:qFormat/>
    <w:rsid w:val="00776432"/>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NotedebasdepageCar">
    <w:name w:val="Note de bas de page Car"/>
    <w:aliases w:val="Boston 10 Car,FOOTNOTES Car,Font: Geneva 9 Car,Footnote Car,Footnote Text Char Char Car,Footnote Text Char1 Car,Footnote Text Char1 Char Char Car,Footnote Text Char2 Char Car,Footnote text Car,Geneva 9 Car,Texto nota pie Car Car"/>
    <w:basedOn w:val="Policepardfaut"/>
    <w:link w:val="Notedebasdepage"/>
    <w:uiPriority w:val="99"/>
    <w:rsid w:val="00776432"/>
    <w:rPr>
      <w:sz w:val="20"/>
      <w:szCs w:val="20"/>
    </w:rPr>
  </w:style>
  <w:style w:type="character" w:styleId="Appelnotedebasdep">
    <w:name w:val="footnote reference"/>
    <w:aliases w:val="ftref,fr,16 Point,Superscript 6 Point,BVI fnr,Carattere Char Carattere Carattere Char Carattere Char Carattere Char Char Char Char Char Char,ftref Char, BVI fnr,Car Car Char Car Char Car Car Char Car Char Char,Car1,Cha,E FNZ,R"/>
    <w:basedOn w:val="Policepardfaut"/>
    <w:link w:val="CarattereCharCarattereCarattereCharCarattereCharCarattereCharCharCharCharChar"/>
    <w:uiPriority w:val="99"/>
    <w:unhideWhenUsed/>
    <w:qFormat/>
    <w:rsid w:val="00776432"/>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Appelnotedebasdep"/>
    <w:uiPriority w:val="99"/>
    <w:rsid w:val="00776432"/>
    <w:pPr>
      <w:spacing w:before="120" w:after="160" w:line="240" w:lineRule="exact"/>
      <w:ind w:left="0" w:firstLine="0"/>
      <w:jc w:val="left"/>
    </w:pPr>
    <w:rPr>
      <w:rFonts w:asciiTheme="minorHAnsi" w:eastAsiaTheme="minorHAnsi" w:hAnsiTheme="minorHAnsi" w:cstheme="minorBidi"/>
      <w:color w:val="auto"/>
      <w:vertAlign w:val="superscript"/>
    </w:rPr>
  </w:style>
  <w:style w:type="character" w:customStyle="1" w:styleId="ParagraphedelisteCar">
    <w:name w:val="Paragraphe de liste Car"/>
    <w:aliases w:val="Akapit z listą BS Car,Bullet1 Car,Bullets Car,Citation List Car,Ha Car,List Paragraph (numbered (a)) Car,List Paragraph1 Car,List_Paragraph Car,Liste 1 Car,Main numbered paragraph Car,Multilevel para_II Car,NUMBERED PARAGRAPH Car"/>
    <w:link w:val="Paragraphedeliste"/>
    <w:uiPriority w:val="34"/>
    <w:qFormat/>
    <w:rsid w:val="00776432"/>
    <w:rPr>
      <w:rFonts w:ascii="Calibri" w:eastAsia="Calibri" w:hAnsi="Calibri" w:cs="Calibri"/>
      <w:color w:val="000000"/>
    </w:rPr>
  </w:style>
  <w:style w:type="paragraph" w:styleId="Commentaire">
    <w:name w:val="annotation text"/>
    <w:basedOn w:val="Normal"/>
    <w:link w:val="CommentaireCar"/>
    <w:uiPriority w:val="99"/>
    <w:semiHidden/>
    <w:unhideWhenUsed/>
    <w:rsid w:val="00776432"/>
    <w:pPr>
      <w:spacing w:line="240" w:lineRule="auto"/>
    </w:pPr>
    <w:rPr>
      <w:sz w:val="20"/>
      <w:szCs w:val="20"/>
    </w:rPr>
  </w:style>
  <w:style w:type="character" w:customStyle="1" w:styleId="CommentaireCar">
    <w:name w:val="Commentaire Car"/>
    <w:basedOn w:val="Policepardfaut"/>
    <w:link w:val="Commentaire"/>
    <w:uiPriority w:val="99"/>
    <w:semiHidden/>
    <w:rsid w:val="00776432"/>
    <w:rPr>
      <w:rFonts w:ascii="Calibri" w:eastAsia="Calibri" w:hAnsi="Calibri" w:cs="Calibri"/>
      <w:color w:val="000000"/>
      <w:sz w:val="20"/>
      <w:szCs w:val="20"/>
    </w:rPr>
  </w:style>
  <w:style w:type="paragraph" w:styleId="En-tte">
    <w:name w:val="header"/>
    <w:basedOn w:val="Normal"/>
    <w:link w:val="En-tteCar"/>
    <w:uiPriority w:val="99"/>
    <w:unhideWhenUsed/>
    <w:rsid w:val="000D04EF"/>
    <w:pPr>
      <w:tabs>
        <w:tab w:val="center" w:pos="4680"/>
        <w:tab w:val="right" w:pos="9360"/>
      </w:tabs>
      <w:spacing w:after="0" w:line="240" w:lineRule="auto"/>
    </w:pPr>
  </w:style>
  <w:style w:type="character" w:customStyle="1" w:styleId="En-tteCar">
    <w:name w:val="En-tête Car"/>
    <w:basedOn w:val="Policepardfaut"/>
    <w:link w:val="En-tte"/>
    <w:uiPriority w:val="99"/>
    <w:rsid w:val="000D04EF"/>
    <w:rPr>
      <w:rFonts w:ascii="Calibri" w:eastAsia="Calibri" w:hAnsi="Calibri" w:cs="Calibri"/>
      <w:color w:val="000000"/>
    </w:rPr>
  </w:style>
  <w:style w:type="paragraph" w:customStyle="1" w:styleId="BVIfnrCarCarCarCarChar">
    <w:name w:val="BVI fnr Car Car Car Car Char"/>
    <w:basedOn w:val="Normal"/>
    <w:uiPriority w:val="99"/>
    <w:rsid w:val="00A0341B"/>
    <w:pPr>
      <w:widowControl w:val="0"/>
      <w:adjustRightInd w:val="0"/>
      <w:spacing w:after="160" w:line="240" w:lineRule="exact"/>
      <w:ind w:left="0" w:firstLine="0"/>
      <w:textAlignment w:val="baseline"/>
    </w:pPr>
    <w:rPr>
      <w:rFonts w:cs="Times New Roman"/>
      <w:color w:val="auto"/>
      <w:sz w:val="20"/>
      <w:szCs w:val="20"/>
      <w:vertAlign w:val="superscript"/>
    </w:rPr>
  </w:style>
  <w:style w:type="character" w:styleId="Marquedecommentaire">
    <w:name w:val="annotation reference"/>
    <w:basedOn w:val="Policepardfaut"/>
    <w:uiPriority w:val="99"/>
    <w:unhideWhenUsed/>
    <w:rsid w:val="003A22B9"/>
    <w:rPr>
      <w:sz w:val="16"/>
      <w:szCs w:val="16"/>
    </w:rPr>
  </w:style>
  <w:style w:type="paragraph" w:styleId="Objetducommentaire">
    <w:name w:val="annotation subject"/>
    <w:basedOn w:val="Commentaire"/>
    <w:next w:val="Commentaire"/>
    <w:link w:val="ObjetducommentaireCar"/>
    <w:uiPriority w:val="99"/>
    <w:semiHidden/>
    <w:unhideWhenUsed/>
    <w:rsid w:val="003A22B9"/>
    <w:rPr>
      <w:b/>
      <w:bCs/>
    </w:rPr>
  </w:style>
  <w:style w:type="character" w:customStyle="1" w:styleId="ObjetducommentaireCar">
    <w:name w:val="Objet du commentaire Car"/>
    <w:basedOn w:val="CommentaireCar"/>
    <w:link w:val="Objetducommentaire"/>
    <w:uiPriority w:val="99"/>
    <w:semiHidden/>
    <w:rsid w:val="003A22B9"/>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3A22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22B9"/>
    <w:rPr>
      <w:rFonts w:ascii="Segoe UI" w:eastAsia="Calibri" w:hAnsi="Segoe UI" w:cs="Segoe UI"/>
      <w:color w:val="000000"/>
      <w:sz w:val="18"/>
      <w:szCs w:val="18"/>
    </w:rPr>
  </w:style>
  <w:style w:type="table" w:customStyle="1" w:styleId="TableGrid">
    <w:name w:val="TableGrid"/>
    <w:rsid w:val="00F3157D"/>
    <w:pPr>
      <w:spacing w:after="0" w:line="240" w:lineRule="auto"/>
    </w:pPr>
    <w:rPr>
      <w:rFonts w:eastAsiaTheme="minorEastAsia"/>
    </w:rPr>
    <w:tblPr>
      <w:tblCellMar>
        <w:top w:w="0" w:type="dxa"/>
        <w:left w:w="0" w:type="dxa"/>
        <w:bottom w:w="0" w:type="dxa"/>
        <w:right w:w="0" w:type="dxa"/>
      </w:tblCellMar>
    </w:tblPr>
  </w:style>
  <w:style w:type="character" w:styleId="Lienhypertexte">
    <w:name w:val="Hyperlink"/>
    <w:uiPriority w:val="99"/>
    <w:unhideWhenUsed/>
    <w:rsid w:val="00A522BC"/>
    <w:rPr>
      <w:i/>
      <w:sz w:val="22"/>
      <w:szCs w:val="22"/>
    </w:rPr>
  </w:style>
  <w:style w:type="paragraph" w:customStyle="1" w:styleId="xmsonormal">
    <w:name w:val="x_msonormal"/>
    <w:basedOn w:val="Normal"/>
    <w:rsid w:val="00233368"/>
    <w:pPr>
      <w:spacing w:before="100" w:beforeAutospacing="1" w:after="100" w:afterAutospacing="1" w:line="240" w:lineRule="auto"/>
      <w:ind w:left="0" w:firstLine="0"/>
      <w:jc w:val="left"/>
    </w:pPr>
    <w:rPr>
      <w:rFonts w:ascii="Times New Roman" w:eastAsiaTheme="minorHAnsi" w:hAnsi="Times New Roman" w:cs="Times New Roman"/>
      <w:color w:val="auto"/>
      <w:sz w:val="20"/>
      <w:szCs w:val="20"/>
    </w:rPr>
  </w:style>
  <w:style w:type="paragraph" w:styleId="Rvision">
    <w:name w:val="Revision"/>
    <w:hidden/>
    <w:uiPriority w:val="99"/>
    <w:semiHidden/>
    <w:rsid w:val="00534E88"/>
    <w:pPr>
      <w:spacing w:after="0" w:line="240" w:lineRule="auto"/>
    </w:pPr>
    <w:rPr>
      <w:rFonts w:ascii="Calibri" w:eastAsia="Calibri" w:hAnsi="Calibri" w:cs="Calibri"/>
      <w:color w:val="000000"/>
    </w:rPr>
  </w:style>
  <w:style w:type="paragraph" w:customStyle="1" w:styleId="Default">
    <w:name w:val="Default"/>
    <w:rsid w:val="00DC387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C75FA"/>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paragraph" w:styleId="Sansinterligne">
    <w:name w:val="No Spacing"/>
    <w:uiPriority w:val="1"/>
    <w:qFormat/>
    <w:rsid w:val="009C75FA"/>
    <w:pPr>
      <w:spacing w:after="0" w:line="240" w:lineRule="auto"/>
    </w:pPr>
    <w:rPr>
      <w:rFonts w:ascii="Calibri" w:eastAsia="Calibri" w:hAnsi="Calibri" w:cs="Times New Roman"/>
      <w:lang w:val="pt-PT" w:eastAsia="pt-PT"/>
    </w:rPr>
  </w:style>
  <w:style w:type="paragraph" w:styleId="Pieddepage">
    <w:name w:val="footer"/>
    <w:basedOn w:val="Normal"/>
    <w:link w:val="PieddepageCar"/>
    <w:uiPriority w:val="99"/>
    <w:unhideWhenUsed/>
    <w:rsid w:val="009C75FA"/>
    <w:pPr>
      <w:tabs>
        <w:tab w:val="center" w:pos="4680"/>
        <w:tab w:val="right" w:pos="9360"/>
      </w:tabs>
      <w:spacing w:after="0" w:line="240" w:lineRule="auto"/>
      <w:ind w:left="0" w:firstLine="0"/>
      <w:jc w:val="left"/>
    </w:pPr>
    <w:rPr>
      <w:rFonts w:asciiTheme="minorHAnsi" w:eastAsiaTheme="minorHAnsi" w:hAnsiTheme="minorHAnsi" w:cstheme="minorBidi"/>
      <w:color w:val="auto"/>
    </w:rPr>
  </w:style>
  <w:style w:type="character" w:customStyle="1" w:styleId="PieddepageCar">
    <w:name w:val="Pied de page Car"/>
    <w:basedOn w:val="Policepardfaut"/>
    <w:link w:val="Pieddepage"/>
    <w:uiPriority w:val="99"/>
    <w:rsid w:val="009C75FA"/>
  </w:style>
  <w:style w:type="paragraph" w:styleId="Titre">
    <w:name w:val="Title"/>
    <w:basedOn w:val="Normal"/>
    <w:next w:val="Normal"/>
    <w:link w:val="TitreCar"/>
    <w:uiPriority w:val="10"/>
    <w:qFormat/>
    <w:rsid w:val="002361E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2361E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4633">
      <w:bodyDiv w:val="1"/>
      <w:marLeft w:val="0"/>
      <w:marRight w:val="0"/>
      <w:marTop w:val="0"/>
      <w:marBottom w:val="0"/>
      <w:divBdr>
        <w:top w:val="none" w:sz="0" w:space="0" w:color="auto"/>
        <w:left w:val="none" w:sz="0" w:space="0" w:color="auto"/>
        <w:bottom w:val="none" w:sz="0" w:space="0" w:color="auto"/>
        <w:right w:val="none" w:sz="0" w:space="0" w:color="auto"/>
      </w:divBdr>
    </w:div>
    <w:div w:id="407579484">
      <w:bodyDiv w:val="1"/>
      <w:marLeft w:val="0"/>
      <w:marRight w:val="0"/>
      <w:marTop w:val="0"/>
      <w:marBottom w:val="0"/>
      <w:divBdr>
        <w:top w:val="none" w:sz="0" w:space="0" w:color="auto"/>
        <w:left w:val="none" w:sz="0" w:space="0" w:color="auto"/>
        <w:bottom w:val="none" w:sz="0" w:space="0" w:color="auto"/>
        <w:right w:val="none" w:sz="0" w:space="0" w:color="auto"/>
      </w:divBdr>
    </w:div>
    <w:div w:id="1018775170">
      <w:bodyDiv w:val="1"/>
      <w:marLeft w:val="0"/>
      <w:marRight w:val="0"/>
      <w:marTop w:val="0"/>
      <w:marBottom w:val="0"/>
      <w:divBdr>
        <w:top w:val="none" w:sz="0" w:space="0" w:color="auto"/>
        <w:left w:val="none" w:sz="0" w:space="0" w:color="auto"/>
        <w:bottom w:val="none" w:sz="0" w:space="0" w:color="auto"/>
        <w:right w:val="none" w:sz="0" w:space="0" w:color="auto"/>
      </w:divBdr>
    </w:div>
    <w:div w:id="1257666457">
      <w:bodyDiv w:val="1"/>
      <w:marLeft w:val="0"/>
      <w:marRight w:val="0"/>
      <w:marTop w:val="0"/>
      <w:marBottom w:val="0"/>
      <w:divBdr>
        <w:top w:val="none" w:sz="0" w:space="0" w:color="auto"/>
        <w:left w:val="none" w:sz="0" w:space="0" w:color="auto"/>
        <w:bottom w:val="none" w:sz="0" w:space="0" w:color="auto"/>
        <w:right w:val="none" w:sz="0" w:space="0" w:color="auto"/>
      </w:divBdr>
    </w:div>
    <w:div w:id="1373845084">
      <w:bodyDiv w:val="1"/>
      <w:marLeft w:val="0"/>
      <w:marRight w:val="0"/>
      <w:marTop w:val="0"/>
      <w:marBottom w:val="0"/>
      <w:divBdr>
        <w:top w:val="none" w:sz="0" w:space="0" w:color="auto"/>
        <w:left w:val="none" w:sz="0" w:space="0" w:color="auto"/>
        <w:bottom w:val="none" w:sz="0" w:space="0" w:color="auto"/>
        <w:right w:val="none" w:sz="0" w:space="0" w:color="auto"/>
      </w:divBdr>
    </w:div>
    <w:div w:id="1461998269">
      <w:bodyDiv w:val="1"/>
      <w:marLeft w:val="0"/>
      <w:marRight w:val="0"/>
      <w:marTop w:val="0"/>
      <w:marBottom w:val="0"/>
      <w:divBdr>
        <w:top w:val="none" w:sz="0" w:space="0" w:color="auto"/>
        <w:left w:val="none" w:sz="0" w:space="0" w:color="auto"/>
        <w:bottom w:val="none" w:sz="0" w:space="0" w:color="auto"/>
        <w:right w:val="none" w:sz="0" w:space="0" w:color="auto"/>
      </w:divBdr>
    </w:div>
    <w:div w:id="1509364236">
      <w:bodyDiv w:val="1"/>
      <w:marLeft w:val="0"/>
      <w:marRight w:val="0"/>
      <w:marTop w:val="0"/>
      <w:marBottom w:val="0"/>
      <w:divBdr>
        <w:top w:val="none" w:sz="0" w:space="0" w:color="auto"/>
        <w:left w:val="none" w:sz="0" w:space="0" w:color="auto"/>
        <w:bottom w:val="none" w:sz="0" w:space="0" w:color="auto"/>
        <w:right w:val="none" w:sz="0" w:space="0" w:color="auto"/>
      </w:divBdr>
    </w:div>
    <w:div w:id="1587108803">
      <w:bodyDiv w:val="1"/>
      <w:marLeft w:val="0"/>
      <w:marRight w:val="0"/>
      <w:marTop w:val="0"/>
      <w:marBottom w:val="0"/>
      <w:divBdr>
        <w:top w:val="none" w:sz="0" w:space="0" w:color="auto"/>
        <w:left w:val="none" w:sz="0" w:space="0" w:color="auto"/>
        <w:bottom w:val="none" w:sz="0" w:space="0" w:color="auto"/>
        <w:right w:val="none" w:sz="0" w:space="0" w:color="auto"/>
      </w:divBdr>
    </w:div>
    <w:div w:id="1763184465">
      <w:bodyDiv w:val="1"/>
      <w:marLeft w:val="0"/>
      <w:marRight w:val="0"/>
      <w:marTop w:val="0"/>
      <w:marBottom w:val="0"/>
      <w:divBdr>
        <w:top w:val="none" w:sz="0" w:space="0" w:color="auto"/>
        <w:left w:val="none" w:sz="0" w:space="0" w:color="auto"/>
        <w:bottom w:val="none" w:sz="0" w:space="0" w:color="auto"/>
        <w:right w:val="none" w:sz="0" w:space="0" w:color="auto"/>
      </w:divBdr>
    </w:div>
    <w:div w:id="1775900524">
      <w:bodyDiv w:val="1"/>
      <w:marLeft w:val="0"/>
      <w:marRight w:val="0"/>
      <w:marTop w:val="0"/>
      <w:marBottom w:val="0"/>
      <w:divBdr>
        <w:top w:val="none" w:sz="0" w:space="0" w:color="auto"/>
        <w:left w:val="none" w:sz="0" w:space="0" w:color="auto"/>
        <w:bottom w:val="none" w:sz="0" w:space="0" w:color="auto"/>
        <w:right w:val="none" w:sz="0" w:space="0" w:color="auto"/>
      </w:divBdr>
    </w:div>
    <w:div w:id="18742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4117c50-33ca-4e49-9a5c-4b51d291b3ff" ContentTypeId="0x01010054E0FEF4951F9D49A6F48A35419983C7" PreviousValue="false"/>
</file>

<file path=customXml/item3.xml><?xml version="1.0" encoding="utf-8"?>
<p:properties xmlns:p="http://schemas.microsoft.com/office/2006/metadata/properties" xmlns:xsi="http://www.w3.org/2001/XMLSchema-instance" xmlns:pc="http://schemas.microsoft.com/office/infopath/2007/PartnerControls">
  <documentManagement>
    <Package xmlns="b99a068c-3844-4a16-badd-77233eea0529">true</Package>
    <TemplateDocVersion xmlns="b99a068c-3844-4a16-badd-77233eea0529" xsi:nil="true"/>
    <SequenceNum xmlns="b99a068c-3844-4a16-badd-77233eea0529" xsi:nil="true"/>
    <PolicyExceptions xmlns="b99a068c-3844-4a16-badd-77233eea0529" xsi:nil="true"/>
    <RefreshDate xmlns="b99a068c-3844-4a16-badd-77233eea0529" xsi:nil="true"/>
    <HasUserUploaded xmlns="b99a068c-3844-4a16-badd-77233eea0529">true</HasUserUploaded>
    <IsMandatory xmlns="b99a068c-3844-4a16-badd-77233eea0529">false</IsMandatory>
    <Authors xmlns="b99a068c-3844-4a16-badd-77233eea0529">
      <UserInfo>
        <DisplayName/>
        <AccountId xsi:nil="true"/>
        <AccountType/>
      </UserInfo>
    </Authors>
    <SortOrder xmlns="b99a068c-3844-4a16-badd-77233eea0529" xsi:nil="true"/>
    <IsHidden xmlns="b99a068c-3844-4a16-badd-77233eea0529">false</IsHidden>
    <Stage xmlns="b99a068c-3844-4a16-badd-77233eea0529">APR</Stage>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21</DocStatus>
    <DocumentDate xmlns="b99a068c-3844-4a16-badd-77233eea0529" xsi:nil="true"/>
    <Cordis_x0020_ID xmlns="b99a068c-3844-4a16-badd-77233eea0529">PROJDOCSEP001</Cordis_x0020_ID>
    <Task_x0020_ID xmlns="b99a068c-3844-4a16-badd-77233eea0529">PRC0014801</Task_x0020_ID>
    <DependentDoc xmlns="b99a068c-3844-4a16-badd-77233eea0529" xsi:nil="true"/>
    <SAPStage xmlns="b99a068c-3844-4a16-badd-77233eea0529" xsi:nil="true"/>
    <DocAuthors xmlns="b99a068c-3844-4a16-badd-77233eea0529" xsi:nil="true"/>
    <WBDocType xmlns="b99a068c-3844-4a16-badd-77233eea0529" xsi:nil="true"/>
    <LockStatus xmlns="b99a068c-3844-4a16-badd-77233eea0529" xsi:nil="true"/>
    <Abstract xmlns="b99a068c-3844-4a16-badd-77233eea0529" xsi:nil="true"/>
    <DeliverableID xmlns="b99a068c-3844-4a16-badd-77233eea0529" xsi:nil="true"/>
    <ProjectID xmlns="b99a068c-3844-4a16-badd-77233eea0529">P174336</ProjectID>
    <DocumentAction xmlns="b99a068c-3844-4a16-badd-77233eea0529" xsi:nil="true"/>
    <SecurityClassification xmlns="b99a068c-3844-4a16-badd-77233eea0529" xsi:nil="true"/>
    <IsTemplate xmlns="b99a068c-3844-4a16-badd-77233eea0529">false</IsTemplate>
  </documentManagement>
</p:properties>
</file>

<file path=customXml/item4.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7F42531320070149A1CE628033470DC5" ma:contentTypeVersion="3" ma:contentTypeDescription="" ma:contentTypeScope="" ma:versionID="0977fc6dcf102f407927d67c55eb5e0b">
  <xsd:schema xmlns:xsd="http://www.w3.org/2001/XMLSchema" xmlns:xs="http://www.w3.org/2001/XMLSchema" xmlns:p="http://schemas.microsoft.com/office/2006/metadata/properties" xmlns:ns2="b99a068c-3844-4a16-badd-77233eea0529" targetNamespace="http://schemas.microsoft.com/office/2006/metadata/properties" ma:root="true" ma:fieldsID="8a88ac08719dd2f60ab88dbb9fb8db89"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2B107-4917-45D1-A212-FE172274CA6D}">
  <ds:schemaRefs>
    <ds:schemaRef ds:uri="http://schemas.microsoft.com/sharepoint/v3/contenttype/forms"/>
  </ds:schemaRefs>
</ds:datastoreItem>
</file>

<file path=customXml/itemProps2.xml><?xml version="1.0" encoding="utf-8"?>
<ds:datastoreItem xmlns:ds="http://schemas.openxmlformats.org/officeDocument/2006/customXml" ds:itemID="{5FA77CD3-ADDA-49C4-9ACD-833C7DDA871B}">
  <ds:schemaRefs>
    <ds:schemaRef ds:uri="Microsoft.SharePoint.Taxonomy.ContentTypeSync"/>
  </ds:schemaRefs>
</ds:datastoreItem>
</file>

<file path=customXml/itemProps3.xml><?xml version="1.0" encoding="utf-8"?>
<ds:datastoreItem xmlns:ds="http://schemas.openxmlformats.org/officeDocument/2006/customXml" ds:itemID="{68A3826A-3B0E-43E8-9371-ADC78BD84CB8}">
  <ds:schemaRefs>
    <ds:schemaRef ds:uri="http://schemas.microsoft.com/office/2006/metadata/properties"/>
    <ds:schemaRef ds:uri="http://schemas.microsoft.com/office/infopath/2007/PartnerControls"/>
    <ds:schemaRef ds:uri="b99a068c-3844-4a16-badd-77233eea0529"/>
  </ds:schemaRefs>
</ds:datastoreItem>
</file>

<file path=customXml/itemProps4.xml><?xml version="1.0" encoding="utf-8"?>
<ds:datastoreItem xmlns:ds="http://schemas.openxmlformats.org/officeDocument/2006/customXml" ds:itemID="{F5957F23-A20A-42F1-A0F6-DB5A0E2D2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1B5C12-77E0-4C23-8F3D-CD594449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2554</Words>
  <Characters>14048</Characters>
  <Application>Microsoft Office Word</Application>
  <DocSecurity>0</DocSecurity>
  <Lines>117</Lines>
  <Paragraphs>33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Stakeholder Engagement Plan</vt:lpstr>
      <vt:lpstr>Stakeholder Engagement Plan</vt:lpstr>
    </vt:vector>
  </TitlesOfParts>
  <Company/>
  <LinksUpToDate>false</LinksUpToDate>
  <CharactersWithSpaces>16569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
  <dc:creator>Gernot Brodnig</dc:creator>
  <cp:keywords/>
  <dc:description/>
  <cp:lastModifiedBy>Mauricio MANE [OGB DC]</cp:lastModifiedBy>
  <cp:revision>2</cp:revision>
  <dcterms:created xsi:type="dcterms:W3CDTF">2020-07-07T16:19:00Z</dcterms:created>
  <dcterms:modified xsi:type="dcterms:W3CDTF">2020-07-07T16:19:00Z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0x01010054E0FEF4951F9D49A6F48A35419983C7007F42531320070149A1CE628033470DC5</vt:lpwstr>
  </property>
  <property fmtid="{D5CDD505-2E9C-101B-9397-08002B2CF9AE}" pid="3" name="Cordis ID">
    <vt:lpwstr>PROJDOCSEP001</vt:lpwstr>
  </property>
  <property fmtid="{D5CDD505-2E9C-101B-9397-08002B2CF9AE}" pid="4" name="Stage">
    <vt:lpwstr>APR</vt:lpwstr>
  </property>
  <property fmtid="{D5CDD505-2E9C-101B-9397-08002B2CF9AE}" pid="5" name="Task ID">
    <vt:lpwstr>PRC0013293</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P173798</vt:lpwstr>
  </property>
</Properties>
</file>